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9C" w:rsidRPr="009F4FFF" w:rsidRDefault="00B8409C" w:rsidP="006757B3">
      <w:pPr>
        <w:keepNext/>
        <w:keepLines/>
        <w:rPr>
          <w:rFonts w:ascii="Tahoma" w:hAnsi="Tahoma" w:cs="Tahoma"/>
          <w:sz w:val="20"/>
          <w:lang w:val="en-US"/>
        </w:rPr>
      </w:pPr>
      <w:r w:rsidRPr="009F4FFF">
        <w:rPr>
          <w:rFonts w:ascii="Tahoma" w:hAnsi="Tahoma" w:cs="Tahoma"/>
          <w:sz w:val="20"/>
          <w:lang w:val="en-US"/>
        </w:rPr>
        <w:t xml:space="preserve">Datum: </w:t>
      </w:r>
      <w:r w:rsidR="0051581E">
        <w:rPr>
          <w:rFonts w:ascii="Tahoma" w:hAnsi="Tahoma" w:cs="Tahoma"/>
          <w:sz w:val="20"/>
          <w:lang w:val="en-US"/>
        </w:rPr>
        <w:t>28</w:t>
      </w:r>
      <w:r w:rsidR="00D57FE9">
        <w:rPr>
          <w:rFonts w:ascii="Tahoma" w:hAnsi="Tahoma" w:cs="Tahoma"/>
          <w:sz w:val="20"/>
          <w:lang w:val="en-US"/>
        </w:rPr>
        <w:t>.</w:t>
      </w:r>
      <w:r w:rsidR="00BD71B1">
        <w:rPr>
          <w:rFonts w:ascii="Tahoma" w:hAnsi="Tahoma" w:cs="Tahoma"/>
          <w:sz w:val="20"/>
          <w:lang w:val="en-US"/>
        </w:rPr>
        <w:t xml:space="preserve"> </w:t>
      </w:r>
      <w:r w:rsidR="0051581E">
        <w:rPr>
          <w:rFonts w:ascii="Tahoma" w:hAnsi="Tahoma" w:cs="Tahoma"/>
          <w:sz w:val="20"/>
          <w:lang w:val="en-US"/>
        </w:rPr>
        <w:t>9</w:t>
      </w:r>
      <w:r w:rsidR="00D57FE9">
        <w:rPr>
          <w:rFonts w:ascii="Tahoma" w:hAnsi="Tahoma" w:cs="Tahoma"/>
          <w:sz w:val="20"/>
          <w:lang w:val="en-US"/>
        </w:rPr>
        <w:t>.</w:t>
      </w:r>
      <w:r w:rsidR="00BD71B1">
        <w:rPr>
          <w:rFonts w:ascii="Tahoma" w:hAnsi="Tahoma" w:cs="Tahoma"/>
          <w:sz w:val="20"/>
          <w:lang w:val="en-US"/>
        </w:rPr>
        <w:t xml:space="preserve"> 2020</w:t>
      </w:r>
    </w:p>
    <w:p w:rsidR="00763D0C" w:rsidRDefault="00763D0C" w:rsidP="006757B3">
      <w:pPr>
        <w:keepNext/>
        <w:keepLines/>
        <w:rPr>
          <w:rFonts w:ascii="Tahoma" w:hAnsi="Tahoma" w:cs="Tahoma"/>
          <w:sz w:val="20"/>
        </w:rPr>
      </w:pPr>
    </w:p>
    <w:p w:rsidR="00B8409C" w:rsidRPr="009F4FFF" w:rsidRDefault="00B8409C" w:rsidP="006757B3">
      <w:pPr>
        <w:keepNext/>
        <w:keepLines/>
        <w:rPr>
          <w:rFonts w:ascii="Tahoma" w:hAnsi="Tahoma" w:cs="Tahoma"/>
          <w:sz w:val="20"/>
        </w:rPr>
      </w:pPr>
      <w:r w:rsidRPr="009F4FFF">
        <w:rPr>
          <w:rFonts w:ascii="Tahoma" w:hAnsi="Tahoma" w:cs="Tahoma"/>
          <w:sz w:val="20"/>
        </w:rPr>
        <w:t>Spoštovani,</w:t>
      </w:r>
    </w:p>
    <w:p w:rsidR="00B8409C" w:rsidRPr="009F4FFF" w:rsidRDefault="00B8409C" w:rsidP="006757B3">
      <w:pPr>
        <w:keepNext/>
        <w:keepLines/>
        <w:rPr>
          <w:rFonts w:ascii="Tahoma" w:hAnsi="Tahoma" w:cs="Tahoma"/>
          <w:sz w:val="20"/>
        </w:rPr>
      </w:pPr>
    </w:p>
    <w:p w:rsidR="007C3B30" w:rsidRDefault="007C3B30" w:rsidP="006757B3">
      <w:pPr>
        <w:keepNext/>
        <w:keepLines/>
        <w:jc w:val="both"/>
        <w:rPr>
          <w:rFonts w:ascii="Tahoma" w:hAnsi="Tahoma" w:cs="Tahoma"/>
          <w:bCs/>
          <w:sz w:val="20"/>
        </w:rPr>
      </w:pPr>
      <w:r>
        <w:rPr>
          <w:rFonts w:ascii="Tahoma" w:hAnsi="Tahoma" w:cs="Tahoma"/>
          <w:bCs/>
          <w:sz w:val="20"/>
        </w:rPr>
        <w:t>objavljamo odgovor</w:t>
      </w:r>
      <w:r w:rsidR="0017401B">
        <w:rPr>
          <w:rFonts w:ascii="Tahoma" w:hAnsi="Tahoma" w:cs="Tahoma"/>
          <w:bCs/>
          <w:sz w:val="20"/>
        </w:rPr>
        <w:t>e na vprašanja gospodarskih subjektov</w:t>
      </w:r>
      <w:r w:rsidRPr="007C3B30">
        <w:rPr>
          <w:rFonts w:ascii="Tahoma" w:hAnsi="Tahoma" w:cs="Tahoma"/>
          <w:bCs/>
          <w:sz w:val="20"/>
        </w:rPr>
        <w:t xml:space="preserve"> </w:t>
      </w:r>
      <w:r w:rsidR="005F0077">
        <w:rPr>
          <w:rFonts w:ascii="Tahoma" w:hAnsi="Tahoma" w:cs="Tahoma"/>
          <w:bCs/>
          <w:sz w:val="20"/>
        </w:rPr>
        <w:t xml:space="preserve">za javno naročilo št. </w:t>
      </w:r>
      <w:r w:rsidR="00F55F05" w:rsidRPr="00F55F05">
        <w:rPr>
          <w:rFonts w:ascii="Tahoma" w:hAnsi="Tahoma" w:cs="Tahoma"/>
          <w:bCs/>
          <w:sz w:val="20"/>
        </w:rPr>
        <w:t>VKS-1</w:t>
      </w:r>
      <w:r w:rsidR="0051581E">
        <w:rPr>
          <w:rFonts w:ascii="Tahoma" w:hAnsi="Tahoma" w:cs="Tahoma"/>
          <w:bCs/>
          <w:sz w:val="20"/>
        </w:rPr>
        <w:t>76</w:t>
      </w:r>
      <w:r w:rsidR="00F55F05" w:rsidRPr="00F55F05">
        <w:rPr>
          <w:rFonts w:ascii="Tahoma" w:hAnsi="Tahoma" w:cs="Tahoma"/>
          <w:bCs/>
          <w:sz w:val="20"/>
        </w:rPr>
        <w:t xml:space="preserve">/20 </w:t>
      </w:r>
      <w:r w:rsidR="0051581E">
        <w:rPr>
          <w:rFonts w:ascii="Tahoma" w:hAnsi="Tahoma" w:cs="Tahoma"/>
          <w:bCs/>
          <w:sz w:val="20"/>
        </w:rPr>
        <w:t>O</w:t>
      </w:r>
      <w:r w:rsidR="0051581E" w:rsidRPr="0051581E">
        <w:rPr>
          <w:rFonts w:ascii="Tahoma" w:hAnsi="Tahoma" w:cs="Tahoma"/>
          <w:bCs/>
          <w:sz w:val="20"/>
        </w:rPr>
        <w:t>bnova vodovoda med vodarno Brest in Tomišljem po metodi brez izkopa</w:t>
      </w:r>
      <w:r w:rsidR="0017401B">
        <w:rPr>
          <w:rFonts w:ascii="Tahoma" w:hAnsi="Tahoma" w:cs="Tahoma"/>
          <w:bCs/>
          <w:sz w:val="20"/>
        </w:rPr>
        <w:t>, ki smo jih</w:t>
      </w:r>
      <w:r>
        <w:rPr>
          <w:rFonts w:ascii="Tahoma" w:hAnsi="Tahoma" w:cs="Tahoma"/>
          <w:bCs/>
          <w:sz w:val="20"/>
        </w:rPr>
        <w:t xml:space="preserve"> prejeli preko Portala javnih naročil. </w:t>
      </w:r>
    </w:p>
    <w:p w:rsidR="00D41734" w:rsidRDefault="00D41734" w:rsidP="006757B3">
      <w:pPr>
        <w:keepNext/>
        <w:keepLines/>
        <w:jc w:val="both"/>
        <w:rPr>
          <w:rFonts w:ascii="Tahoma" w:hAnsi="Tahoma" w:cs="Tahoma"/>
          <w:bCs/>
          <w:sz w:val="20"/>
        </w:rPr>
      </w:pPr>
    </w:p>
    <w:p w:rsidR="0017401B" w:rsidRPr="007D1E0B" w:rsidRDefault="0017401B" w:rsidP="001670DB">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6757B3" w:rsidRDefault="0051581E" w:rsidP="006757B3">
      <w:pPr>
        <w:keepNext/>
        <w:keepLines/>
        <w:rPr>
          <w:rFonts w:ascii="Tahoma" w:hAnsi="Tahoma" w:cs="Tahoma"/>
          <w:bCs/>
          <w:sz w:val="20"/>
        </w:rPr>
      </w:pPr>
      <w:r w:rsidRPr="0051581E">
        <w:rPr>
          <w:rFonts w:ascii="Tahoma" w:hAnsi="Tahoma" w:cs="Tahoma"/>
          <w:bCs/>
          <w:sz w:val="20"/>
        </w:rPr>
        <w:t>pozdravljeni!</w:t>
      </w:r>
      <w:r w:rsidRPr="0051581E">
        <w:rPr>
          <w:rFonts w:ascii="Tahoma" w:hAnsi="Tahoma" w:cs="Tahoma"/>
          <w:bCs/>
          <w:sz w:val="20"/>
        </w:rPr>
        <w:br/>
        <w:t>Kot naročnik javnega naročila JN 005793/2020-W01 v točki 3.2.6 Reference, kot referenčni pogoj navajate:</w:t>
      </w:r>
      <w:r w:rsidRPr="0051581E">
        <w:rPr>
          <w:rFonts w:ascii="Tahoma" w:hAnsi="Tahoma" w:cs="Tahoma"/>
          <w:bCs/>
          <w:sz w:val="20"/>
        </w:rPr>
        <w:br/>
        <w:t>''Ponudnik mora s potrjenimi referenčnimi izjavami s strani dejanskih investitorjev v ponudbi izkazati, da je v zadnjih petih (5) letih pred oddajo ponudbe, kvalitetno in pravočasno ter v skladu s sklenjeno pogodbo izvedel: vsaj eno (1) obnovo cevovodov DN300 ali več po metodi brez izkopa (z »</w:t>
      </w:r>
      <w:proofErr w:type="spellStart"/>
      <w:r w:rsidRPr="0051581E">
        <w:rPr>
          <w:rFonts w:ascii="Tahoma" w:hAnsi="Tahoma" w:cs="Tahoma"/>
          <w:bCs/>
          <w:sz w:val="20"/>
        </w:rPr>
        <w:t>uvlačenjem</w:t>
      </w:r>
      <w:proofErr w:type="spellEnd"/>
      <w:r w:rsidRPr="0051581E">
        <w:rPr>
          <w:rFonts w:ascii="Tahoma" w:hAnsi="Tahoma" w:cs="Tahoma"/>
          <w:bCs/>
          <w:sz w:val="20"/>
        </w:rPr>
        <w:t xml:space="preserve">« cevi) v min. skupni dolžini 3.000 m', od tega vsaj ena (1) obnova izkazovati izvedbo z enkratnim </w:t>
      </w:r>
      <w:proofErr w:type="spellStart"/>
      <w:r w:rsidRPr="0051581E">
        <w:rPr>
          <w:rFonts w:ascii="Tahoma" w:hAnsi="Tahoma" w:cs="Tahoma"/>
          <w:bCs/>
          <w:sz w:val="20"/>
        </w:rPr>
        <w:t>uvlačenjem</w:t>
      </w:r>
      <w:proofErr w:type="spellEnd"/>
      <w:r w:rsidRPr="0051581E">
        <w:rPr>
          <w:rFonts w:ascii="Tahoma" w:hAnsi="Tahoma" w:cs="Tahoma"/>
          <w:bCs/>
          <w:sz w:val="20"/>
        </w:rPr>
        <w:t xml:space="preserve"> v min. dolžini 750 m'''.</w:t>
      </w:r>
      <w:r w:rsidRPr="0051581E">
        <w:rPr>
          <w:rFonts w:ascii="Tahoma" w:hAnsi="Tahoma" w:cs="Tahoma"/>
          <w:bCs/>
          <w:sz w:val="20"/>
        </w:rPr>
        <w:br/>
      </w:r>
      <w:r w:rsidRPr="0051581E">
        <w:rPr>
          <w:rFonts w:ascii="Tahoma" w:hAnsi="Tahoma" w:cs="Tahoma"/>
          <w:bCs/>
          <w:sz w:val="20"/>
        </w:rPr>
        <w:br/>
        <w:t>Opozarjamo, da naročnik v zahtevanem referenčnem pogoju zahteva dolžino, ki ni sorazmerna z zahtevano izvedbo in v ničemer ne predstavlja naročniku dodatnega zagotovila oziroma izkaza usposobljenosti gospodarskega subjekta. Skladno s tem predlagamo, da naročnik zmanjša zahtevano referenčno dolžino v min. skupni dolžini na 1500 m. Takšna referenca bi bila tudi edina sorazmerna glede na predvideno dolžino del, ki je predmet javnega naročila.</w:t>
      </w:r>
    </w:p>
    <w:p w:rsidR="0051581E" w:rsidRPr="0051581E" w:rsidRDefault="0051581E" w:rsidP="006757B3">
      <w:pPr>
        <w:keepNext/>
        <w:keepLines/>
        <w:rPr>
          <w:rFonts w:ascii="Tahoma" w:hAnsi="Tahoma" w:cs="Tahoma"/>
          <w:bCs/>
          <w:sz w:val="20"/>
        </w:rPr>
      </w:pPr>
    </w:p>
    <w:p w:rsidR="00416BD8" w:rsidRPr="007D1E0B" w:rsidRDefault="00416BD8" w:rsidP="001670DB">
      <w:pPr>
        <w:keepNext/>
        <w:keepLines/>
        <w:tabs>
          <w:tab w:val="left" w:pos="8505"/>
        </w:tabs>
        <w:jc w:val="both"/>
        <w:rPr>
          <w:rFonts w:ascii="Tahoma" w:hAnsi="Tahoma" w:cs="Tahoma"/>
          <w:color w:val="00B050"/>
          <w:sz w:val="20"/>
        </w:rPr>
      </w:pPr>
      <w:r w:rsidRPr="007D1E0B">
        <w:rPr>
          <w:rFonts w:ascii="Tahoma" w:hAnsi="Tahoma" w:cs="Tahoma"/>
          <w:color w:val="00B050"/>
          <w:sz w:val="20"/>
        </w:rPr>
        <w:t>ODGOVOR:</w:t>
      </w:r>
    </w:p>
    <w:p w:rsidR="0051581E" w:rsidRPr="0051581E" w:rsidRDefault="0051581E" w:rsidP="0051581E">
      <w:pPr>
        <w:rPr>
          <w:rFonts w:ascii="Tahoma" w:hAnsi="Tahoma" w:cs="Tahoma"/>
          <w:bCs/>
          <w:sz w:val="20"/>
        </w:rPr>
      </w:pPr>
      <w:r w:rsidRPr="0051581E">
        <w:rPr>
          <w:rFonts w:ascii="Tahoma" w:hAnsi="Tahoma" w:cs="Tahoma"/>
          <w:bCs/>
          <w:sz w:val="20"/>
        </w:rPr>
        <w:t>Referenčni pogoj je zapisan zelo ohlapno, vendar s 3 (tremi) pogoji:</w:t>
      </w:r>
    </w:p>
    <w:p w:rsidR="0051581E" w:rsidRPr="0051581E" w:rsidRDefault="0051581E" w:rsidP="0051581E">
      <w:pPr>
        <w:pStyle w:val="Odstavekseznama"/>
        <w:ind w:hanging="360"/>
        <w:rPr>
          <w:rFonts w:ascii="Tahoma" w:hAnsi="Tahoma" w:cs="Tahoma"/>
          <w:bCs/>
          <w:sz w:val="20"/>
        </w:rPr>
      </w:pPr>
      <w:r w:rsidRPr="0051581E">
        <w:rPr>
          <w:rFonts w:ascii="Tahoma" w:hAnsi="Tahoma" w:cs="Tahoma"/>
          <w:bCs/>
          <w:sz w:val="20"/>
        </w:rPr>
        <w:t xml:space="preserve">- 1 (ena) referenca z enkratnim </w:t>
      </w:r>
      <w:proofErr w:type="spellStart"/>
      <w:r w:rsidRPr="0051581E">
        <w:rPr>
          <w:rFonts w:ascii="Tahoma" w:hAnsi="Tahoma" w:cs="Tahoma"/>
          <w:bCs/>
          <w:sz w:val="20"/>
        </w:rPr>
        <w:t>uvlačenjem</w:t>
      </w:r>
      <w:proofErr w:type="spellEnd"/>
      <w:r w:rsidRPr="0051581E">
        <w:rPr>
          <w:rFonts w:ascii="Tahoma" w:hAnsi="Tahoma" w:cs="Tahoma"/>
          <w:bCs/>
          <w:sz w:val="20"/>
        </w:rPr>
        <w:t xml:space="preserve"> v min. dolžini 750 m'</w:t>
      </w:r>
    </w:p>
    <w:p w:rsidR="0051581E" w:rsidRPr="0051581E" w:rsidRDefault="0051581E" w:rsidP="0051581E">
      <w:pPr>
        <w:pStyle w:val="Odstavekseznama"/>
        <w:ind w:hanging="360"/>
        <w:rPr>
          <w:rFonts w:ascii="Tahoma" w:hAnsi="Tahoma" w:cs="Tahoma"/>
          <w:bCs/>
          <w:sz w:val="20"/>
        </w:rPr>
      </w:pPr>
      <w:r w:rsidRPr="0051581E">
        <w:rPr>
          <w:rFonts w:ascii="Tahoma" w:hAnsi="Tahoma" w:cs="Tahoma"/>
          <w:bCs/>
          <w:sz w:val="20"/>
        </w:rPr>
        <w:t>- min. premer obnovljenih cevovodov DN300</w:t>
      </w:r>
    </w:p>
    <w:p w:rsidR="0051581E" w:rsidRPr="0051581E" w:rsidRDefault="0051581E" w:rsidP="0051581E">
      <w:pPr>
        <w:pStyle w:val="Odstavekseznama"/>
        <w:ind w:hanging="360"/>
        <w:rPr>
          <w:rFonts w:ascii="Tahoma" w:hAnsi="Tahoma" w:cs="Tahoma"/>
          <w:bCs/>
          <w:sz w:val="20"/>
        </w:rPr>
      </w:pPr>
      <w:r w:rsidRPr="0051581E">
        <w:rPr>
          <w:rFonts w:ascii="Tahoma" w:hAnsi="Tahoma" w:cs="Tahoma"/>
          <w:bCs/>
          <w:sz w:val="20"/>
        </w:rPr>
        <w:t xml:space="preserve">- v zadnjih 5 (petih) letih vsaj 3.000 m' obnovljenih cevovodov po metodi </w:t>
      </w:r>
      <w:proofErr w:type="spellStart"/>
      <w:r w:rsidRPr="0051581E">
        <w:rPr>
          <w:rFonts w:ascii="Tahoma" w:hAnsi="Tahoma" w:cs="Tahoma"/>
          <w:bCs/>
          <w:sz w:val="20"/>
        </w:rPr>
        <w:t>uvlačenja</w:t>
      </w:r>
      <w:proofErr w:type="spellEnd"/>
      <w:r w:rsidRPr="0051581E">
        <w:rPr>
          <w:rFonts w:ascii="Tahoma" w:hAnsi="Tahoma" w:cs="Tahoma"/>
          <w:bCs/>
          <w:sz w:val="20"/>
        </w:rPr>
        <w:t>  (skupna dolžina lahko večjega števila referenčnih objektov)</w:t>
      </w:r>
    </w:p>
    <w:p w:rsidR="0051581E" w:rsidRPr="0051581E" w:rsidRDefault="0051581E" w:rsidP="0051581E">
      <w:pPr>
        <w:rPr>
          <w:rFonts w:ascii="Tahoma" w:hAnsi="Tahoma" w:cs="Tahoma"/>
          <w:bCs/>
          <w:sz w:val="20"/>
        </w:rPr>
      </w:pPr>
    </w:p>
    <w:p w:rsidR="0051581E" w:rsidRDefault="0051581E" w:rsidP="0051581E">
      <w:pPr>
        <w:rPr>
          <w:rFonts w:ascii="Tahoma" w:hAnsi="Tahoma" w:cs="Tahoma"/>
          <w:bCs/>
          <w:sz w:val="20"/>
        </w:rPr>
      </w:pPr>
      <w:r w:rsidRPr="0051581E">
        <w:rPr>
          <w:rFonts w:ascii="Tahoma" w:hAnsi="Tahoma" w:cs="Tahoma"/>
          <w:bCs/>
          <w:sz w:val="20"/>
        </w:rPr>
        <w:t xml:space="preserve">Ker je cevovod, ki je predmet razpisanih del zelo pomemben pri ustrezni in varni </w:t>
      </w:r>
      <w:proofErr w:type="spellStart"/>
      <w:r w:rsidRPr="0051581E">
        <w:rPr>
          <w:rFonts w:ascii="Tahoma" w:hAnsi="Tahoma" w:cs="Tahoma"/>
          <w:bCs/>
          <w:sz w:val="20"/>
        </w:rPr>
        <w:t>vodooskrbi</w:t>
      </w:r>
      <w:proofErr w:type="spellEnd"/>
      <w:r w:rsidRPr="0051581E">
        <w:rPr>
          <w:rFonts w:ascii="Tahoma" w:hAnsi="Tahoma" w:cs="Tahoma"/>
          <w:bCs/>
          <w:sz w:val="20"/>
        </w:rPr>
        <w:t xml:space="preserve"> Ljubljane z okolico, si kot naročnik pridržujemo pravico izbrati izvajalca, ki je v, z razpisno dokumentacijo, določenem obdobju izvedel večje število tovrstnih sanacij cevovodov.</w:t>
      </w:r>
    </w:p>
    <w:p w:rsidR="0051581E" w:rsidRPr="0051581E" w:rsidRDefault="0051581E" w:rsidP="0051581E">
      <w:pPr>
        <w:rPr>
          <w:rFonts w:ascii="Tahoma" w:hAnsi="Tahoma" w:cs="Tahoma"/>
          <w:bCs/>
          <w:sz w:val="20"/>
        </w:rPr>
      </w:pPr>
      <w:bookmarkStart w:id="0" w:name="_GoBack"/>
      <w:bookmarkEnd w:id="0"/>
    </w:p>
    <w:p w:rsidR="0051581E" w:rsidRPr="0051581E" w:rsidRDefault="0051581E" w:rsidP="0051581E">
      <w:pPr>
        <w:rPr>
          <w:rFonts w:ascii="Tahoma" w:hAnsi="Tahoma" w:cs="Tahoma"/>
          <w:bCs/>
          <w:sz w:val="20"/>
        </w:rPr>
      </w:pPr>
      <w:r w:rsidRPr="0051581E">
        <w:rPr>
          <w:rFonts w:ascii="Tahoma" w:hAnsi="Tahoma" w:cs="Tahoma"/>
          <w:bCs/>
          <w:sz w:val="20"/>
        </w:rPr>
        <w:t>Naročnik pogoja ne bo spreminjal.</w:t>
      </w:r>
    </w:p>
    <w:p w:rsidR="001670DB" w:rsidRDefault="001670DB" w:rsidP="006757B3">
      <w:pPr>
        <w:keepNext/>
        <w:keepLines/>
        <w:rPr>
          <w:rFonts w:ascii="Tahoma" w:hAnsi="Tahoma" w:cs="Tahoma"/>
          <w:bCs/>
          <w:sz w:val="20"/>
        </w:rPr>
      </w:pPr>
    </w:p>
    <w:p w:rsidR="006757B3" w:rsidRPr="001670DB" w:rsidRDefault="00416BD8" w:rsidP="001670DB">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1670DB" w:rsidRDefault="006757B3" w:rsidP="00416BD8">
      <w:pPr>
        <w:keepNext/>
        <w:keepLines/>
        <w:tabs>
          <w:tab w:val="left" w:pos="8505"/>
        </w:tabs>
        <w:spacing w:after="120"/>
        <w:jc w:val="both"/>
        <w:rPr>
          <w:rFonts w:ascii="Tahoma" w:hAnsi="Tahoma" w:cs="Tahoma"/>
          <w:bCs/>
          <w:sz w:val="20"/>
        </w:rPr>
      </w:pPr>
      <w:r w:rsidRPr="00416BD8">
        <w:rPr>
          <w:rFonts w:ascii="Tahoma" w:hAnsi="Tahoma" w:cs="Tahoma"/>
          <w:bCs/>
          <w:sz w:val="20"/>
        </w:rPr>
        <w:t>Ali je mogoče čas v katerem so pridobljene reference raztegniti na dobo 10 let?</w:t>
      </w:r>
    </w:p>
    <w:p w:rsidR="00416BD8" w:rsidRPr="007D1E0B" w:rsidRDefault="00416BD8" w:rsidP="001670DB">
      <w:pPr>
        <w:keepNext/>
        <w:keepLines/>
        <w:tabs>
          <w:tab w:val="left" w:pos="8505"/>
        </w:tabs>
        <w:jc w:val="both"/>
        <w:rPr>
          <w:rFonts w:ascii="Tahoma" w:hAnsi="Tahoma" w:cs="Tahoma"/>
          <w:color w:val="00B050"/>
          <w:sz w:val="20"/>
        </w:rPr>
      </w:pPr>
      <w:r w:rsidRPr="007D1E0B">
        <w:rPr>
          <w:rFonts w:ascii="Tahoma" w:hAnsi="Tahoma" w:cs="Tahoma"/>
          <w:color w:val="00B050"/>
          <w:sz w:val="20"/>
        </w:rPr>
        <w:t>ODGOVOR:</w:t>
      </w:r>
    </w:p>
    <w:p w:rsidR="00726046" w:rsidRPr="0090656C" w:rsidRDefault="001670DB" w:rsidP="006757B3">
      <w:pPr>
        <w:keepNext/>
        <w:keepLines/>
        <w:jc w:val="both"/>
        <w:rPr>
          <w:rFonts w:ascii="Tahoma" w:hAnsi="Tahoma" w:cs="Tahoma"/>
          <w:bCs/>
          <w:sz w:val="20"/>
        </w:rPr>
      </w:pPr>
      <w:r w:rsidRPr="001670DB">
        <w:rPr>
          <w:rFonts w:ascii="Tahoma" w:hAnsi="Tahoma" w:cs="Tahoma"/>
          <w:bCs/>
          <w:sz w:val="20"/>
        </w:rPr>
        <w:t>Naročnik</w:t>
      </w:r>
      <w:r>
        <w:rPr>
          <w:rFonts w:ascii="Tahoma" w:hAnsi="Tahoma" w:cs="Tahoma"/>
          <w:bCs/>
          <w:sz w:val="20"/>
        </w:rPr>
        <w:t xml:space="preserve"> </w:t>
      </w:r>
      <w:r w:rsidRPr="001670DB">
        <w:rPr>
          <w:rFonts w:ascii="Tahoma" w:hAnsi="Tahoma" w:cs="Tahoma"/>
          <w:bCs/>
          <w:sz w:val="20"/>
        </w:rPr>
        <w:t>referenčnega obdobja ne bo spreminjal</w:t>
      </w:r>
      <w:r>
        <w:rPr>
          <w:rFonts w:ascii="Tahoma" w:hAnsi="Tahoma" w:cs="Tahoma"/>
          <w:bCs/>
          <w:sz w:val="20"/>
        </w:rPr>
        <w:t>.</w:t>
      </w:r>
    </w:p>
    <w:p w:rsidR="001670DB" w:rsidRDefault="001670DB" w:rsidP="006757B3">
      <w:pPr>
        <w:keepNext/>
        <w:keepLines/>
        <w:jc w:val="both"/>
        <w:rPr>
          <w:rFonts w:ascii="Tahoma" w:hAnsi="Tahoma" w:cs="Tahoma"/>
          <w:bCs/>
          <w:sz w:val="20"/>
        </w:rPr>
      </w:pPr>
    </w:p>
    <w:p w:rsidR="005133F9" w:rsidRPr="007D1E0B" w:rsidRDefault="005133F9" w:rsidP="001670DB">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1670DB" w:rsidRDefault="00416BD8" w:rsidP="001670DB">
      <w:pPr>
        <w:keepNext/>
        <w:keepLines/>
        <w:tabs>
          <w:tab w:val="left" w:pos="8505"/>
        </w:tabs>
        <w:spacing w:after="120"/>
        <w:jc w:val="both"/>
        <w:rPr>
          <w:rFonts w:ascii="Tahoma" w:hAnsi="Tahoma" w:cs="Tahoma"/>
          <w:bCs/>
          <w:sz w:val="20"/>
        </w:rPr>
      </w:pPr>
      <w:r w:rsidRPr="001670DB">
        <w:rPr>
          <w:rFonts w:ascii="Tahoma" w:hAnsi="Tahoma" w:cs="Tahoma"/>
          <w:bCs/>
          <w:sz w:val="20"/>
        </w:rPr>
        <w:t>Pozdravljeni,</w:t>
      </w:r>
      <w:r w:rsidRPr="001670DB">
        <w:rPr>
          <w:rFonts w:ascii="Tahoma" w:hAnsi="Tahoma" w:cs="Tahoma"/>
          <w:bCs/>
          <w:sz w:val="20"/>
        </w:rPr>
        <w:br/>
        <w:t>v zahtevah za tehnično usposobljenost izvajalca je zapisana zahteva, da je izvajalec uspešno zaključil (z zagonom v električno omrežje) postavitev sončnih elektrarn s skupno močjo vsaj 1,1MW od tega vsaj eno (1) sončno elektrarno z močjo nad 400kW, za katero je bilo pridobljeno tudi uporabno dovoljenje in uspešno zgraditi vsaj eno (1) transformatorsko postajo velikosti najmanj 1MW v obdobju od 1.1.2015 do roka za oddajo prijav.</w:t>
      </w:r>
    </w:p>
    <w:p w:rsidR="005133F9" w:rsidRPr="005133F9" w:rsidRDefault="00416BD8" w:rsidP="00917ABF">
      <w:pPr>
        <w:keepNext/>
        <w:keepLines/>
        <w:tabs>
          <w:tab w:val="left" w:pos="8505"/>
        </w:tabs>
        <w:jc w:val="both"/>
        <w:rPr>
          <w:rFonts w:ascii="Tahoma" w:hAnsi="Tahoma" w:cs="Tahoma"/>
          <w:bCs/>
          <w:sz w:val="20"/>
        </w:rPr>
      </w:pPr>
      <w:r w:rsidRPr="001670DB">
        <w:rPr>
          <w:rFonts w:ascii="Tahoma" w:hAnsi="Tahoma" w:cs="Tahoma"/>
          <w:bCs/>
          <w:sz w:val="20"/>
        </w:rPr>
        <w:t xml:space="preserve">Ker vemo, da je zanimanje za </w:t>
      </w:r>
      <w:proofErr w:type="spellStart"/>
      <w:r w:rsidRPr="001670DB">
        <w:rPr>
          <w:rFonts w:ascii="Tahoma" w:hAnsi="Tahoma" w:cs="Tahoma"/>
          <w:bCs/>
          <w:sz w:val="20"/>
        </w:rPr>
        <w:t>fotovoltaiko</w:t>
      </w:r>
      <w:proofErr w:type="spellEnd"/>
      <w:r w:rsidRPr="001670DB">
        <w:rPr>
          <w:rFonts w:ascii="Tahoma" w:hAnsi="Tahoma" w:cs="Tahoma"/>
          <w:bCs/>
          <w:sz w:val="20"/>
        </w:rPr>
        <w:t xml:space="preserve"> po ukinitvi sistema podpor upadlo, se le te v zadnjih letih tudi niso gradile. V zadnjem obdobju pa so se pričele graditi elektrarne za samooskrbo, ki pa so precej manjših moči kot zahtevanih 400 </w:t>
      </w:r>
      <w:proofErr w:type="spellStart"/>
      <w:r w:rsidRPr="001670DB">
        <w:rPr>
          <w:rFonts w:ascii="Tahoma" w:hAnsi="Tahoma" w:cs="Tahoma"/>
          <w:bCs/>
          <w:sz w:val="20"/>
        </w:rPr>
        <w:t>kWp</w:t>
      </w:r>
      <w:proofErr w:type="spellEnd"/>
      <w:r w:rsidRPr="001670DB">
        <w:rPr>
          <w:rFonts w:ascii="Tahoma" w:hAnsi="Tahoma" w:cs="Tahoma"/>
          <w:bCs/>
          <w:sz w:val="20"/>
        </w:rPr>
        <w:t>. Zato predlagamo, da se obdobje za reference razširi na obdobje 10 let. S tem boste razširili krog potencialnih ponudnikov, še vedno pa ostaja zahteva po izkušnjah za gradnjo večjih elektrarn.</w:t>
      </w:r>
    </w:p>
    <w:p w:rsidR="005133F9" w:rsidRDefault="005133F9" w:rsidP="006757B3">
      <w:pPr>
        <w:keepNext/>
        <w:keepLines/>
        <w:rPr>
          <w:rFonts w:ascii="Helvetica" w:hAnsi="Helvetica" w:cs="Helvetica"/>
          <w:color w:val="333333"/>
          <w:sz w:val="18"/>
          <w:szCs w:val="18"/>
          <w:shd w:val="clear" w:color="auto" w:fill="FFFFFF"/>
        </w:rPr>
      </w:pPr>
    </w:p>
    <w:p w:rsidR="005133F9" w:rsidRDefault="005133F9" w:rsidP="001670DB">
      <w:pPr>
        <w:keepNext/>
        <w:keepLines/>
        <w:tabs>
          <w:tab w:val="left" w:pos="8505"/>
        </w:tabs>
        <w:jc w:val="both"/>
        <w:rPr>
          <w:rFonts w:ascii="Tahoma" w:hAnsi="Tahoma" w:cs="Tahoma"/>
          <w:color w:val="00B050"/>
          <w:sz w:val="20"/>
        </w:rPr>
      </w:pPr>
      <w:r w:rsidRPr="007D1E0B">
        <w:rPr>
          <w:rFonts w:ascii="Tahoma" w:hAnsi="Tahoma" w:cs="Tahoma"/>
          <w:color w:val="00B050"/>
          <w:sz w:val="20"/>
        </w:rPr>
        <w:t>ODGOVOR:</w:t>
      </w:r>
    </w:p>
    <w:p w:rsidR="001670DB" w:rsidRDefault="001670DB" w:rsidP="001670DB">
      <w:pPr>
        <w:keepNext/>
        <w:keepLines/>
        <w:tabs>
          <w:tab w:val="left" w:pos="8505"/>
        </w:tabs>
        <w:spacing w:after="120"/>
        <w:jc w:val="both"/>
        <w:rPr>
          <w:rFonts w:ascii="Tahoma" w:hAnsi="Tahoma" w:cs="Tahoma"/>
          <w:bCs/>
          <w:sz w:val="20"/>
        </w:rPr>
      </w:pPr>
      <w:r w:rsidRPr="001670DB">
        <w:rPr>
          <w:rFonts w:ascii="Tahoma" w:hAnsi="Tahoma" w:cs="Tahoma"/>
          <w:bCs/>
          <w:sz w:val="20"/>
        </w:rPr>
        <w:t xml:space="preserve">Naročnik se zaveda trenutnega stanja na trgu izgradnje </w:t>
      </w:r>
      <w:proofErr w:type="spellStart"/>
      <w:r w:rsidRPr="001670DB">
        <w:rPr>
          <w:rFonts w:ascii="Tahoma" w:hAnsi="Tahoma" w:cs="Tahoma"/>
          <w:bCs/>
          <w:sz w:val="20"/>
        </w:rPr>
        <w:t>fotovoltaike</w:t>
      </w:r>
      <w:proofErr w:type="spellEnd"/>
      <w:r w:rsidRPr="001670DB">
        <w:rPr>
          <w:rFonts w:ascii="Tahoma" w:hAnsi="Tahoma" w:cs="Tahoma"/>
          <w:bCs/>
          <w:sz w:val="20"/>
        </w:rPr>
        <w:t>, zato je z omejitvijo obdobja od 1.1.2015 dalje postavil tudi sorazmerno nizke referenčne pogoje tako za ponudnika (referenčno zahtevo po 1,1MW lahko izpolnijo z večjim številom manjših sončnih elektrarn in hkrati zgolj z dokazilom o izgradnji</w:t>
      </w:r>
      <w:r>
        <w:rPr>
          <w:rFonts w:ascii="Tahoma" w:hAnsi="Tahoma" w:cs="Tahoma"/>
          <w:bCs/>
          <w:sz w:val="20"/>
        </w:rPr>
        <w:t xml:space="preserve"> </w:t>
      </w:r>
      <w:r w:rsidRPr="001670DB">
        <w:rPr>
          <w:rFonts w:ascii="Tahoma" w:hAnsi="Tahoma" w:cs="Tahoma"/>
          <w:bCs/>
          <w:sz w:val="20"/>
        </w:rPr>
        <w:t>ene malo večje sončne elektrarne s pridobljenim uporabnim dovoljenjem) kot tudi za strokovni kader.  Ob</w:t>
      </w:r>
    </w:p>
    <w:p w:rsidR="001670DB" w:rsidRPr="001670DB" w:rsidRDefault="001670DB" w:rsidP="001670DB">
      <w:pPr>
        <w:keepNext/>
        <w:keepLines/>
        <w:tabs>
          <w:tab w:val="left" w:pos="8505"/>
        </w:tabs>
        <w:spacing w:after="120"/>
        <w:jc w:val="both"/>
        <w:rPr>
          <w:rFonts w:ascii="Tahoma" w:hAnsi="Tahoma" w:cs="Tahoma"/>
          <w:bCs/>
          <w:sz w:val="20"/>
        </w:rPr>
      </w:pPr>
      <w:r w:rsidRPr="001670DB">
        <w:rPr>
          <w:rFonts w:ascii="Tahoma" w:hAnsi="Tahoma" w:cs="Tahoma"/>
          <w:bCs/>
          <w:sz w:val="20"/>
        </w:rPr>
        <w:t xml:space="preserve">določanju referenčnega obdobja se je naročniku porajalo kar nekaj vprašanj glede stanja tehnike, materiala in znanja ter dosegljivosti kadra, kot tudi posledično postavitve višjih zahtev tako za ponudnike kot tudi za strokovni kader. </w:t>
      </w:r>
    </w:p>
    <w:p w:rsidR="001670DB" w:rsidRPr="001670DB" w:rsidRDefault="001670DB" w:rsidP="001670DB">
      <w:pPr>
        <w:keepNext/>
        <w:keepLines/>
        <w:tabs>
          <w:tab w:val="left" w:pos="8505"/>
        </w:tabs>
        <w:spacing w:after="120"/>
        <w:jc w:val="both"/>
        <w:rPr>
          <w:rFonts w:ascii="Tahoma" w:hAnsi="Tahoma" w:cs="Tahoma"/>
          <w:bCs/>
          <w:sz w:val="20"/>
        </w:rPr>
      </w:pPr>
      <w:r w:rsidRPr="001670DB">
        <w:rPr>
          <w:rFonts w:ascii="Tahoma" w:hAnsi="Tahoma" w:cs="Tahoma"/>
          <w:bCs/>
          <w:sz w:val="20"/>
        </w:rPr>
        <w:t>Zato naročnik referenčnega obdobja in postavljenih pogojev ne bo spreminjal.</w:t>
      </w:r>
    </w:p>
    <w:p w:rsidR="00D02474" w:rsidRDefault="00B8409C" w:rsidP="006757B3">
      <w:pPr>
        <w:keepNext/>
        <w:keepLines/>
        <w:rPr>
          <w:rFonts w:ascii="Tahoma" w:hAnsi="Tahoma" w:cs="Tahoma"/>
          <w:bCs/>
          <w:sz w:val="20"/>
        </w:rPr>
      </w:pPr>
      <w:r w:rsidRPr="009F4FFF">
        <w:rPr>
          <w:rFonts w:ascii="Tahoma" w:hAnsi="Tahoma" w:cs="Tahoma"/>
          <w:bCs/>
          <w:sz w:val="20"/>
        </w:rPr>
        <w:t>Lepo pozdravljeni!</w:t>
      </w:r>
    </w:p>
    <w:p w:rsidR="001C7004" w:rsidRPr="009F4FFF" w:rsidRDefault="00B8409C" w:rsidP="006757B3">
      <w:pPr>
        <w:keepNext/>
        <w:keepLines/>
        <w:rPr>
          <w:rFonts w:ascii="Tahoma" w:hAnsi="Tahoma" w:cs="Tahoma"/>
          <w:sz w:val="20"/>
        </w:rPr>
      </w:pPr>
      <w:r w:rsidRPr="009F4FFF">
        <w:rPr>
          <w:rFonts w:ascii="Tahoma" w:hAnsi="Tahoma" w:cs="Tahoma"/>
          <w:sz w:val="20"/>
        </w:rPr>
        <w:tab/>
      </w:r>
    </w:p>
    <w:p w:rsidR="00B8409C" w:rsidRPr="009F4FFF" w:rsidRDefault="00B8409C" w:rsidP="006757B3">
      <w:pPr>
        <w:keepNext/>
        <w:keepLines/>
        <w:ind w:left="5387"/>
        <w:rPr>
          <w:rFonts w:ascii="Tahoma" w:hAnsi="Tahoma" w:cs="Tahoma"/>
          <w:sz w:val="20"/>
        </w:rPr>
      </w:pPr>
      <w:r w:rsidRPr="009F4FFF">
        <w:rPr>
          <w:rFonts w:ascii="Tahoma" w:hAnsi="Tahoma" w:cs="Tahoma"/>
          <w:sz w:val="20"/>
        </w:rPr>
        <w:t>JAVNI HOLDING Ljubljana, d.o.o.</w:t>
      </w:r>
    </w:p>
    <w:p w:rsidR="00783049" w:rsidRDefault="00B8409C" w:rsidP="006757B3">
      <w:pPr>
        <w:keepNext/>
        <w:keepLines/>
        <w:ind w:left="5387"/>
        <w:rPr>
          <w:rFonts w:ascii="Tahoma" w:hAnsi="Tahoma" w:cs="Tahoma"/>
          <w:sz w:val="20"/>
        </w:rPr>
      </w:pPr>
      <w:r w:rsidRPr="009F4FFF">
        <w:rPr>
          <w:rFonts w:ascii="Tahoma" w:hAnsi="Tahoma" w:cs="Tahoma"/>
          <w:sz w:val="20"/>
        </w:rPr>
        <w:t>Sektor za javna naročila</w:t>
      </w:r>
    </w:p>
    <w:sectPr w:rsidR="00783049"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EA4" w:rsidRDefault="00E10EA4">
      <w:r>
        <w:separator/>
      </w:r>
    </w:p>
  </w:endnote>
  <w:endnote w:type="continuationSeparator" w:id="0">
    <w:p w:rsidR="00E10EA4" w:rsidRDefault="00E1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A4" w:rsidRDefault="00E10EA4" w:rsidP="00B366C6">
    <w:pPr>
      <w:pStyle w:val="Noga"/>
      <w:jc w:val="right"/>
    </w:pPr>
  </w:p>
  <w:p w:rsidR="00E10EA4" w:rsidRDefault="00E10EA4"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E10EA4" w:rsidRDefault="00E10EA4"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51581E">
      <w:rPr>
        <w:noProof/>
        <w:sz w:val="16"/>
        <w:szCs w:val="16"/>
      </w:rPr>
      <w:t>2</w:t>
    </w:r>
    <w:r w:rsidRPr="00394716">
      <w:rPr>
        <w:sz w:val="16"/>
        <w:szCs w:val="16"/>
      </w:rPr>
      <w:fldChar w:fldCharType="end"/>
    </w:r>
  </w:p>
  <w:p w:rsidR="00E10EA4" w:rsidRDefault="00E10EA4" w:rsidP="00B366C6">
    <w:pPr>
      <w:pStyle w:val="Noga"/>
      <w:jc w:val="center"/>
      <w:rPr>
        <w:sz w:val="16"/>
        <w:szCs w:val="16"/>
      </w:rPr>
    </w:pPr>
  </w:p>
  <w:p w:rsidR="00E10EA4" w:rsidRDefault="00E10EA4" w:rsidP="00B366C6">
    <w:pPr>
      <w:pStyle w:val="Noga"/>
      <w:jc w:val="center"/>
      <w:rPr>
        <w:sz w:val="16"/>
        <w:szCs w:val="16"/>
      </w:rPr>
    </w:pPr>
  </w:p>
  <w:p w:rsidR="00E10EA4" w:rsidRPr="00394716" w:rsidRDefault="00E10EA4"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A4" w:rsidRPr="004D3E89" w:rsidRDefault="00E10EA4"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6769A37D" wp14:editId="5AB1ED71">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EA4" w:rsidRDefault="00E10EA4">
      <w:r>
        <w:separator/>
      </w:r>
    </w:p>
  </w:footnote>
  <w:footnote w:type="continuationSeparator" w:id="0">
    <w:p w:rsidR="00E10EA4" w:rsidRDefault="00E1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A4" w:rsidRDefault="00E10EA4"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A4" w:rsidRDefault="00E10EA4" w:rsidP="00B366C6">
    <w:pPr>
      <w:pStyle w:val="Glava"/>
      <w:tabs>
        <w:tab w:val="clear" w:pos="4536"/>
        <w:tab w:val="center" w:pos="7655"/>
      </w:tabs>
      <w:ind w:right="-1133"/>
    </w:pPr>
    <w:r>
      <w:tab/>
    </w:r>
    <w:r>
      <w:rPr>
        <w:noProof/>
      </w:rPr>
      <w:drawing>
        <wp:inline distT="0" distB="0" distL="0" distR="0" wp14:anchorId="0FCEDE67" wp14:editId="0E36CD2B">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7"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8"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FC95BE0"/>
    <w:multiLevelType w:val="hybridMultilevel"/>
    <w:tmpl w:val="506CBF0A"/>
    <w:lvl w:ilvl="0" w:tplc="AD42635C">
      <w:numFmt w:val="bullet"/>
      <w:lvlText w:val="-"/>
      <w:lvlJc w:val="left"/>
      <w:pPr>
        <w:ind w:left="218" w:hanging="360"/>
      </w:pPr>
      <w:rPr>
        <w:rFonts w:ascii="Tahoma" w:eastAsia="Times New Roman" w:hAnsi="Tahoma" w:cs="Tahoma"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10"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3"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6"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19"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7"/>
  </w:num>
  <w:num w:numId="4">
    <w:abstractNumId w:val="12"/>
  </w:num>
  <w:num w:numId="5">
    <w:abstractNumId w:val="10"/>
  </w:num>
  <w:num w:numId="6">
    <w:abstractNumId w:val="1"/>
  </w:num>
  <w:num w:numId="7">
    <w:abstractNumId w:val="6"/>
  </w:num>
  <w:num w:numId="8">
    <w:abstractNumId w:val="13"/>
  </w:num>
  <w:num w:numId="9">
    <w:abstractNumId w:val="3"/>
  </w:num>
  <w:num w:numId="10">
    <w:abstractNumId w:val="4"/>
  </w:num>
  <w:num w:numId="11">
    <w:abstractNumId w:val="2"/>
  </w:num>
  <w:num w:numId="12">
    <w:abstractNumId w:val="14"/>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5"/>
  </w:num>
  <w:num w:numId="15">
    <w:abstractNumId w:val="7"/>
  </w:num>
  <w:num w:numId="16">
    <w:abstractNumId w:val="16"/>
  </w:num>
  <w:num w:numId="17">
    <w:abstractNumId w:val="5"/>
  </w:num>
  <w:num w:numId="18">
    <w:abstractNumId w:val="12"/>
  </w:num>
  <w:num w:numId="19">
    <w:abstractNumId w:val="8"/>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23D89"/>
    <w:rsid w:val="000254CC"/>
    <w:rsid w:val="00027D96"/>
    <w:rsid w:val="00037454"/>
    <w:rsid w:val="00041B42"/>
    <w:rsid w:val="000517FE"/>
    <w:rsid w:val="00075208"/>
    <w:rsid w:val="000930B2"/>
    <w:rsid w:val="000A0899"/>
    <w:rsid w:val="000B5827"/>
    <w:rsid w:val="000B6B43"/>
    <w:rsid w:val="000D4BCF"/>
    <w:rsid w:val="000E6BAC"/>
    <w:rsid w:val="000E7AFC"/>
    <w:rsid w:val="00102EFB"/>
    <w:rsid w:val="0010611D"/>
    <w:rsid w:val="00110C57"/>
    <w:rsid w:val="00130EEE"/>
    <w:rsid w:val="001376D1"/>
    <w:rsid w:val="00141500"/>
    <w:rsid w:val="00146B70"/>
    <w:rsid w:val="001670DB"/>
    <w:rsid w:val="0017401B"/>
    <w:rsid w:val="00175FEC"/>
    <w:rsid w:val="001870F9"/>
    <w:rsid w:val="001A043C"/>
    <w:rsid w:val="001B0232"/>
    <w:rsid w:val="001B0253"/>
    <w:rsid w:val="001B482F"/>
    <w:rsid w:val="001C238D"/>
    <w:rsid w:val="001C7004"/>
    <w:rsid w:val="001D4454"/>
    <w:rsid w:val="001E0C98"/>
    <w:rsid w:val="001E278D"/>
    <w:rsid w:val="001E3612"/>
    <w:rsid w:val="001E3A81"/>
    <w:rsid w:val="001E5AE6"/>
    <w:rsid w:val="00224FE4"/>
    <w:rsid w:val="00242234"/>
    <w:rsid w:val="0026294B"/>
    <w:rsid w:val="00284842"/>
    <w:rsid w:val="00285099"/>
    <w:rsid w:val="00291CD6"/>
    <w:rsid w:val="00292109"/>
    <w:rsid w:val="002B79EA"/>
    <w:rsid w:val="002C255A"/>
    <w:rsid w:val="002C5152"/>
    <w:rsid w:val="002D4294"/>
    <w:rsid w:val="002F08A1"/>
    <w:rsid w:val="002F2ED9"/>
    <w:rsid w:val="00354D59"/>
    <w:rsid w:val="00366A57"/>
    <w:rsid w:val="00366F2D"/>
    <w:rsid w:val="003731D5"/>
    <w:rsid w:val="00387F4F"/>
    <w:rsid w:val="0039059B"/>
    <w:rsid w:val="00391DD6"/>
    <w:rsid w:val="00396E64"/>
    <w:rsid w:val="003B0717"/>
    <w:rsid w:val="003B151C"/>
    <w:rsid w:val="003C1FCF"/>
    <w:rsid w:val="003C5474"/>
    <w:rsid w:val="003C747C"/>
    <w:rsid w:val="003D4BEB"/>
    <w:rsid w:val="003F535B"/>
    <w:rsid w:val="003F60D5"/>
    <w:rsid w:val="003F65D3"/>
    <w:rsid w:val="00407136"/>
    <w:rsid w:val="00416BD8"/>
    <w:rsid w:val="00423E45"/>
    <w:rsid w:val="004310C6"/>
    <w:rsid w:val="00433EAA"/>
    <w:rsid w:val="00437DBA"/>
    <w:rsid w:val="0044086B"/>
    <w:rsid w:val="00450DB9"/>
    <w:rsid w:val="00451A99"/>
    <w:rsid w:val="0045541F"/>
    <w:rsid w:val="0047542C"/>
    <w:rsid w:val="00482216"/>
    <w:rsid w:val="004A38F0"/>
    <w:rsid w:val="004B0BE1"/>
    <w:rsid w:val="004B78F7"/>
    <w:rsid w:val="004D3E89"/>
    <w:rsid w:val="004D64A2"/>
    <w:rsid w:val="005133F9"/>
    <w:rsid w:val="0051581E"/>
    <w:rsid w:val="00527CAB"/>
    <w:rsid w:val="0053291B"/>
    <w:rsid w:val="00540009"/>
    <w:rsid w:val="0057721D"/>
    <w:rsid w:val="00583FEE"/>
    <w:rsid w:val="00597FE2"/>
    <w:rsid w:val="005C2DB5"/>
    <w:rsid w:val="005C2DB7"/>
    <w:rsid w:val="005D2112"/>
    <w:rsid w:val="005E7331"/>
    <w:rsid w:val="005F0077"/>
    <w:rsid w:val="00600300"/>
    <w:rsid w:val="0062320B"/>
    <w:rsid w:val="00624A8F"/>
    <w:rsid w:val="00656773"/>
    <w:rsid w:val="006610A5"/>
    <w:rsid w:val="00665CA5"/>
    <w:rsid w:val="006757B3"/>
    <w:rsid w:val="006862BE"/>
    <w:rsid w:val="0069374F"/>
    <w:rsid w:val="006B024F"/>
    <w:rsid w:val="006B1CF9"/>
    <w:rsid w:val="006B3868"/>
    <w:rsid w:val="006E0CA1"/>
    <w:rsid w:val="006E45F0"/>
    <w:rsid w:val="006F22BA"/>
    <w:rsid w:val="006F3058"/>
    <w:rsid w:val="00703E6D"/>
    <w:rsid w:val="00711458"/>
    <w:rsid w:val="007159B1"/>
    <w:rsid w:val="00726046"/>
    <w:rsid w:val="00730049"/>
    <w:rsid w:val="00762732"/>
    <w:rsid w:val="00763D0C"/>
    <w:rsid w:val="00764CDA"/>
    <w:rsid w:val="007661F5"/>
    <w:rsid w:val="00766924"/>
    <w:rsid w:val="0077022A"/>
    <w:rsid w:val="00783049"/>
    <w:rsid w:val="007A258F"/>
    <w:rsid w:val="007B175D"/>
    <w:rsid w:val="007C3B30"/>
    <w:rsid w:val="007C494E"/>
    <w:rsid w:val="007D1E0B"/>
    <w:rsid w:val="007D6B63"/>
    <w:rsid w:val="007E1A3B"/>
    <w:rsid w:val="007F0CFD"/>
    <w:rsid w:val="007F402F"/>
    <w:rsid w:val="00800D88"/>
    <w:rsid w:val="008105EE"/>
    <w:rsid w:val="00821F95"/>
    <w:rsid w:val="0084746F"/>
    <w:rsid w:val="00856BAF"/>
    <w:rsid w:val="00856BF6"/>
    <w:rsid w:val="00866368"/>
    <w:rsid w:val="00882B70"/>
    <w:rsid w:val="008878C9"/>
    <w:rsid w:val="008901E9"/>
    <w:rsid w:val="008940DF"/>
    <w:rsid w:val="0089450C"/>
    <w:rsid w:val="00894B8A"/>
    <w:rsid w:val="008A3969"/>
    <w:rsid w:val="008A5AF3"/>
    <w:rsid w:val="008A6582"/>
    <w:rsid w:val="008A71CD"/>
    <w:rsid w:val="008A73AE"/>
    <w:rsid w:val="008A796A"/>
    <w:rsid w:val="008A7B4B"/>
    <w:rsid w:val="008A7E85"/>
    <w:rsid w:val="008B4F59"/>
    <w:rsid w:val="008B5186"/>
    <w:rsid w:val="008C5175"/>
    <w:rsid w:val="008C6040"/>
    <w:rsid w:val="008C7107"/>
    <w:rsid w:val="008E5557"/>
    <w:rsid w:val="0090455C"/>
    <w:rsid w:val="0090656C"/>
    <w:rsid w:val="00917ABF"/>
    <w:rsid w:val="0092040B"/>
    <w:rsid w:val="00927AAE"/>
    <w:rsid w:val="00931EA9"/>
    <w:rsid w:val="009328DB"/>
    <w:rsid w:val="009334BD"/>
    <w:rsid w:val="009432A3"/>
    <w:rsid w:val="0094583D"/>
    <w:rsid w:val="00962839"/>
    <w:rsid w:val="00981B37"/>
    <w:rsid w:val="0098200D"/>
    <w:rsid w:val="009843AA"/>
    <w:rsid w:val="00987755"/>
    <w:rsid w:val="00991DF6"/>
    <w:rsid w:val="00993435"/>
    <w:rsid w:val="00993C58"/>
    <w:rsid w:val="00994C9B"/>
    <w:rsid w:val="009A3E80"/>
    <w:rsid w:val="009B3BE0"/>
    <w:rsid w:val="009B7791"/>
    <w:rsid w:val="009C7F28"/>
    <w:rsid w:val="009D10CB"/>
    <w:rsid w:val="009D2BDE"/>
    <w:rsid w:val="009F166F"/>
    <w:rsid w:val="009F4FFF"/>
    <w:rsid w:val="00A103A9"/>
    <w:rsid w:val="00A14412"/>
    <w:rsid w:val="00A14B1A"/>
    <w:rsid w:val="00A14DA1"/>
    <w:rsid w:val="00A36239"/>
    <w:rsid w:val="00A43E01"/>
    <w:rsid w:val="00A60869"/>
    <w:rsid w:val="00A65139"/>
    <w:rsid w:val="00A66477"/>
    <w:rsid w:val="00A67690"/>
    <w:rsid w:val="00A73BAE"/>
    <w:rsid w:val="00A80AA7"/>
    <w:rsid w:val="00A905ED"/>
    <w:rsid w:val="00AB4DCC"/>
    <w:rsid w:val="00AC326A"/>
    <w:rsid w:val="00B24134"/>
    <w:rsid w:val="00B366C6"/>
    <w:rsid w:val="00B376D0"/>
    <w:rsid w:val="00B6617C"/>
    <w:rsid w:val="00B66D3B"/>
    <w:rsid w:val="00B70739"/>
    <w:rsid w:val="00B810C1"/>
    <w:rsid w:val="00B81112"/>
    <w:rsid w:val="00B8409C"/>
    <w:rsid w:val="00B941B6"/>
    <w:rsid w:val="00B95E5E"/>
    <w:rsid w:val="00BC4B0F"/>
    <w:rsid w:val="00BD476F"/>
    <w:rsid w:val="00BD71B1"/>
    <w:rsid w:val="00BE4EA5"/>
    <w:rsid w:val="00C02F06"/>
    <w:rsid w:val="00C06DFC"/>
    <w:rsid w:val="00C149B1"/>
    <w:rsid w:val="00C2057A"/>
    <w:rsid w:val="00C2152A"/>
    <w:rsid w:val="00C23200"/>
    <w:rsid w:val="00C31762"/>
    <w:rsid w:val="00C5370C"/>
    <w:rsid w:val="00C6393E"/>
    <w:rsid w:val="00C73A78"/>
    <w:rsid w:val="00CA4F0B"/>
    <w:rsid w:val="00CB065C"/>
    <w:rsid w:val="00CB702E"/>
    <w:rsid w:val="00CB77D3"/>
    <w:rsid w:val="00CE4D71"/>
    <w:rsid w:val="00CF4117"/>
    <w:rsid w:val="00D02474"/>
    <w:rsid w:val="00D03AF4"/>
    <w:rsid w:val="00D22D80"/>
    <w:rsid w:val="00D310AC"/>
    <w:rsid w:val="00D37B43"/>
    <w:rsid w:val="00D41734"/>
    <w:rsid w:val="00D558BF"/>
    <w:rsid w:val="00D5592D"/>
    <w:rsid w:val="00D57FE9"/>
    <w:rsid w:val="00D62091"/>
    <w:rsid w:val="00D677F7"/>
    <w:rsid w:val="00D73DEA"/>
    <w:rsid w:val="00D875E4"/>
    <w:rsid w:val="00D92BC3"/>
    <w:rsid w:val="00D970C6"/>
    <w:rsid w:val="00D97511"/>
    <w:rsid w:val="00DA558B"/>
    <w:rsid w:val="00DE36A9"/>
    <w:rsid w:val="00DE46B3"/>
    <w:rsid w:val="00DE6D23"/>
    <w:rsid w:val="00DF0E9F"/>
    <w:rsid w:val="00DF3406"/>
    <w:rsid w:val="00E10EA4"/>
    <w:rsid w:val="00E14BFA"/>
    <w:rsid w:val="00E23F10"/>
    <w:rsid w:val="00E24D79"/>
    <w:rsid w:val="00E32E39"/>
    <w:rsid w:val="00E47609"/>
    <w:rsid w:val="00E4765E"/>
    <w:rsid w:val="00E53473"/>
    <w:rsid w:val="00E5591D"/>
    <w:rsid w:val="00E60036"/>
    <w:rsid w:val="00E64E12"/>
    <w:rsid w:val="00E665E8"/>
    <w:rsid w:val="00E66AA0"/>
    <w:rsid w:val="00E762FD"/>
    <w:rsid w:val="00E91E08"/>
    <w:rsid w:val="00EB1130"/>
    <w:rsid w:val="00ED2035"/>
    <w:rsid w:val="00EE78E3"/>
    <w:rsid w:val="00F14403"/>
    <w:rsid w:val="00F478C8"/>
    <w:rsid w:val="00F5336C"/>
    <w:rsid w:val="00F543E6"/>
    <w:rsid w:val="00F55F05"/>
    <w:rsid w:val="00F759FD"/>
    <w:rsid w:val="00F801AD"/>
    <w:rsid w:val="00F81EDE"/>
    <w:rsid w:val="00F859FE"/>
    <w:rsid w:val="00F945FB"/>
    <w:rsid w:val="00FA1A43"/>
    <w:rsid w:val="00FA57FE"/>
    <w:rsid w:val="00FA5AE7"/>
    <w:rsid w:val="00FA7A34"/>
    <w:rsid w:val="00FB07AA"/>
    <w:rsid w:val="00FB71A7"/>
    <w:rsid w:val="00FD66F1"/>
    <w:rsid w:val="00FE5AF8"/>
    <w:rsid w:val="00FE6ACF"/>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6CA83C0"/>
  <w15:docId w15:val="{8C720AF8-44C5-44EC-99AF-1C737A6C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359992">
      <w:bodyDiv w:val="1"/>
      <w:marLeft w:val="0"/>
      <w:marRight w:val="0"/>
      <w:marTop w:val="0"/>
      <w:marBottom w:val="0"/>
      <w:divBdr>
        <w:top w:val="none" w:sz="0" w:space="0" w:color="auto"/>
        <w:left w:val="none" w:sz="0" w:space="0" w:color="auto"/>
        <w:bottom w:val="none" w:sz="0" w:space="0" w:color="auto"/>
        <w:right w:val="none" w:sz="0" w:space="0" w:color="auto"/>
      </w:divBdr>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267437">
      <w:bodyDiv w:val="1"/>
      <w:marLeft w:val="0"/>
      <w:marRight w:val="0"/>
      <w:marTop w:val="0"/>
      <w:marBottom w:val="0"/>
      <w:divBdr>
        <w:top w:val="none" w:sz="0" w:space="0" w:color="auto"/>
        <w:left w:val="none" w:sz="0" w:space="0" w:color="auto"/>
        <w:bottom w:val="none" w:sz="0" w:space="0" w:color="auto"/>
        <w:right w:val="none" w:sz="0" w:space="0" w:color="auto"/>
      </w:divBdr>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7299">
      <w:bodyDiv w:val="1"/>
      <w:marLeft w:val="0"/>
      <w:marRight w:val="0"/>
      <w:marTop w:val="0"/>
      <w:marBottom w:val="0"/>
      <w:divBdr>
        <w:top w:val="none" w:sz="0" w:space="0" w:color="auto"/>
        <w:left w:val="none" w:sz="0" w:space="0" w:color="auto"/>
        <w:bottom w:val="none" w:sz="0" w:space="0" w:color="auto"/>
        <w:right w:val="none" w:sz="0" w:space="0" w:color="auto"/>
      </w:divBdr>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2948402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661430">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3927844">
      <w:bodyDiv w:val="1"/>
      <w:marLeft w:val="0"/>
      <w:marRight w:val="0"/>
      <w:marTop w:val="0"/>
      <w:marBottom w:val="0"/>
      <w:divBdr>
        <w:top w:val="none" w:sz="0" w:space="0" w:color="auto"/>
        <w:left w:val="none" w:sz="0" w:space="0" w:color="auto"/>
        <w:bottom w:val="none" w:sz="0" w:space="0" w:color="auto"/>
        <w:right w:val="none" w:sz="0" w:space="0" w:color="auto"/>
      </w:divBdr>
      <w:divsChild>
        <w:div w:id="1760642261">
          <w:marLeft w:val="0"/>
          <w:marRight w:val="0"/>
          <w:marTop w:val="0"/>
          <w:marBottom w:val="0"/>
          <w:divBdr>
            <w:top w:val="none" w:sz="0" w:space="0" w:color="auto"/>
            <w:left w:val="none" w:sz="0" w:space="0" w:color="auto"/>
            <w:bottom w:val="none" w:sz="0" w:space="0" w:color="auto"/>
            <w:right w:val="none" w:sz="0" w:space="0" w:color="auto"/>
          </w:divBdr>
          <w:divsChild>
            <w:div w:id="1906793878">
              <w:marLeft w:val="-225"/>
              <w:marRight w:val="-225"/>
              <w:marTop w:val="0"/>
              <w:marBottom w:val="0"/>
              <w:divBdr>
                <w:top w:val="none" w:sz="0" w:space="0" w:color="auto"/>
                <w:left w:val="none" w:sz="0" w:space="0" w:color="auto"/>
                <w:bottom w:val="none" w:sz="0" w:space="0" w:color="auto"/>
                <w:right w:val="none" w:sz="0" w:space="0" w:color="auto"/>
              </w:divBdr>
              <w:divsChild>
                <w:div w:id="2070227327">
                  <w:marLeft w:val="0"/>
                  <w:marRight w:val="0"/>
                  <w:marTop w:val="0"/>
                  <w:marBottom w:val="0"/>
                  <w:divBdr>
                    <w:top w:val="none" w:sz="0" w:space="0" w:color="auto"/>
                    <w:left w:val="none" w:sz="0" w:space="0" w:color="auto"/>
                    <w:bottom w:val="none" w:sz="0" w:space="0" w:color="auto"/>
                    <w:right w:val="none" w:sz="0" w:space="0" w:color="auto"/>
                  </w:divBdr>
                  <w:divsChild>
                    <w:div w:id="425620158">
                      <w:marLeft w:val="0"/>
                      <w:marRight w:val="0"/>
                      <w:marTop w:val="0"/>
                      <w:marBottom w:val="255"/>
                      <w:divBdr>
                        <w:top w:val="none" w:sz="0" w:space="0" w:color="auto"/>
                        <w:left w:val="none" w:sz="0" w:space="0" w:color="auto"/>
                        <w:bottom w:val="none" w:sz="0" w:space="0" w:color="auto"/>
                        <w:right w:val="none" w:sz="0" w:space="0" w:color="auto"/>
                      </w:divBdr>
                      <w:divsChild>
                        <w:div w:id="1465007676">
                          <w:marLeft w:val="0"/>
                          <w:marRight w:val="0"/>
                          <w:marTop w:val="0"/>
                          <w:marBottom w:val="0"/>
                          <w:divBdr>
                            <w:top w:val="none" w:sz="0" w:space="0" w:color="auto"/>
                            <w:left w:val="none" w:sz="0" w:space="0" w:color="auto"/>
                            <w:bottom w:val="none" w:sz="0" w:space="0" w:color="auto"/>
                            <w:right w:val="none" w:sz="0" w:space="0" w:color="auto"/>
                          </w:divBdr>
                          <w:divsChild>
                            <w:div w:id="745494661">
                              <w:marLeft w:val="-195"/>
                              <w:marRight w:val="0"/>
                              <w:marTop w:val="0"/>
                              <w:marBottom w:val="0"/>
                              <w:divBdr>
                                <w:top w:val="none" w:sz="0" w:space="0" w:color="auto"/>
                                <w:left w:val="none" w:sz="0" w:space="0" w:color="auto"/>
                                <w:bottom w:val="none" w:sz="0" w:space="0" w:color="auto"/>
                                <w:right w:val="none" w:sz="0" w:space="0" w:color="auto"/>
                              </w:divBdr>
                              <w:divsChild>
                                <w:div w:id="627664357">
                                  <w:marLeft w:val="0"/>
                                  <w:marRight w:val="0"/>
                                  <w:marTop w:val="150"/>
                                  <w:marBottom w:val="150"/>
                                  <w:divBdr>
                                    <w:top w:val="none" w:sz="0" w:space="0" w:color="auto"/>
                                    <w:left w:val="none" w:sz="0" w:space="0" w:color="auto"/>
                                    <w:bottom w:val="none" w:sz="0" w:space="0" w:color="auto"/>
                                    <w:right w:val="none" w:sz="0" w:space="0" w:color="auto"/>
                                  </w:divBdr>
                                </w:div>
                              </w:divsChild>
                            </w:div>
                            <w:div w:id="1729299860">
                              <w:marLeft w:val="-195"/>
                              <w:marRight w:val="0"/>
                              <w:marTop w:val="0"/>
                              <w:marBottom w:val="0"/>
                              <w:divBdr>
                                <w:top w:val="none" w:sz="0" w:space="0" w:color="auto"/>
                                <w:left w:val="none" w:sz="0" w:space="0" w:color="auto"/>
                                <w:bottom w:val="none" w:sz="0" w:space="0" w:color="auto"/>
                                <w:right w:val="none" w:sz="0" w:space="0" w:color="auto"/>
                              </w:divBdr>
                              <w:divsChild>
                                <w:div w:id="387072397">
                                  <w:marLeft w:val="0"/>
                                  <w:marRight w:val="0"/>
                                  <w:marTop w:val="150"/>
                                  <w:marBottom w:val="150"/>
                                  <w:divBdr>
                                    <w:top w:val="none" w:sz="0" w:space="0" w:color="auto"/>
                                    <w:left w:val="none" w:sz="0" w:space="0" w:color="auto"/>
                                    <w:bottom w:val="none" w:sz="0" w:space="0" w:color="auto"/>
                                    <w:right w:val="none" w:sz="0" w:space="0" w:color="auto"/>
                                  </w:divBdr>
                                </w:div>
                              </w:divsChild>
                            </w:div>
                            <w:div w:id="2099984840">
                              <w:marLeft w:val="-195"/>
                              <w:marRight w:val="0"/>
                              <w:marTop w:val="0"/>
                              <w:marBottom w:val="0"/>
                              <w:divBdr>
                                <w:top w:val="none" w:sz="0" w:space="0" w:color="auto"/>
                                <w:left w:val="none" w:sz="0" w:space="0" w:color="auto"/>
                                <w:bottom w:val="none" w:sz="0" w:space="0" w:color="auto"/>
                                <w:right w:val="none" w:sz="0" w:space="0" w:color="auto"/>
                              </w:divBdr>
                              <w:divsChild>
                                <w:div w:id="20552283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25909992">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428668">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651712535">
      <w:bodyDiv w:val="1"/>
      <w:marLeft w:val="0"/>
      <w:marRight w:val="0"/>
      <w:marTop w:val="0"/>
      <w:marBottom w:val="0"/>
      <w:divBdr>
        <w:top w:val="none" w:sz="0" w:space="0" w:color="auto"/>
        <w:left w:val="none" w:sz="0" w:space="0" w:color="auto"/>
        <w:bottom w:val="none" w:sz="0" w:space="0" w:color="auto"/>
        <w:right w:val="none" w:sz="0" w:space="0" w:color="auto"/>
      </w:divBdr>
    </w:div>
    <w:div w:id="165341224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39034482">
      <w:bodyDiv w:val="1"/>
      <w:marLeft w:val="0"/>
      <w:marRight w:val="0"/>
      <w:marTop w:val="0"/>
      <w:marBottom w:val="0"/>
      <w:divBdr>
        <w:top w:val="none" w:sz="0" w:space="0" w:color="auto"/>
        <w:left w:val="none" w:sz="0" w:space="0" w:color="auto"/>
        <w:bottom w:val="none" w:sz="0" w:space="0" w:color="auto"/>
        <w:right w:val="none" w:sz="0" w:space="0" w:color="auto"/>
      </w:divBdr>
    </w:div>
    <w:div w:id="1911647336">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5ABAF-31AD-4D56-8362-23E358C1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3194</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Uroš Pečaver</cp:lastModifiedBy>
  <cp:revision>2</cp:revision>
  <cp:lastPrinted>2018-12-10T05:59:00Z</cp:lastPrinted>
  <dcterms:created xsi:type="dcterms:W3CDTF">2020-09-28T09:26:00Z</dcterms:created>
  <dcterms:modified xsi:type="dcterms:W3CDTF">2020-09-28T09:26:00Z</dcterms:modified>
</cp:coreProperties>
</file>