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09" w:rsidRDefault="00292109" w:rsidP="0090656C">
      <w:pPr>
        <w:keepNext/>
        <w:keepLines/>
        <w:rPr>
          <w:rFonts w:ascii="Tahoma" w:hAnsi="Tahoma" w:cs="Tahoma"/>
          <w:sz w:val="20"/>
          <w:lang w:val="en-US"/>
        </w:rPr>
      </w:pPr>
    </w:p>
    <w:p w:rsidR="00B8409C" w:rsidRPr="009F4FFF" w:rsidRDefault="00B8409C" w:rsidP="0090656C">
      <w:pPr>
        <w:keepNext/>
        <w:keepLines/>
        <w:rPr>
          <w:rFonts w:ascii="Tahoma" w:hAnsi="Tahoma" w:cs="Tahoma"/>
          <w:sz w:val="20"/>
          <w:lang w:val="en-US"/>
        </w:rPr>
      </w:pPr>
      <w:r w:rsidRPr="009F4FFF">
        <w:rPr>
          <w:rFonts w:ascii="Tahoma" w:hAnsi="Tahoma" w:cs="Tahoma"/>
          <w:sz w:val="20"/>
          <w:lang w:val="en-US"/>
        </w:rPr>
        <w:t xml:space="preserve">Datum: </w:t>
      </w:r>
      <w:r w:rsidR="0017401B">
        <w:rPr>
          <w:rFonts w:ascii="Tahoma" w:hAnsi="Tahoma" w:cs="Tahoma"/>
          <w:sz w:val="20"/>
          <w:lang w:val="en-US"/>
        </w:rPr>
        <w:t>10</w:t>
      </w:r>
      <w:r w:rsidR="00D57FE9">
        <w:rPr>
          <w:rFonts w:ascii="Tahoma" w:hAnsi="Tahoma" w:cs="Tahoma"/>
          <w:sz w:val="20"/>
          <w:lang w:val="en-US"/>
        </w:rPr>
        <w:t>.</w:t>
      </w:r>
      <w:r w:rsidR="00BD71B1">
        <w:rPr>
          <w:rFonts w:ascii="Tahoma" w:hAnsi="Tahoma" w:cs="Tahoma"/>
          <w:sz w:val="20"/>
          <w:lang w:val="en-US"/>
        </w:rPr>
        <w:t xml:space="preserve"> 7</w:t>
      </w:r>
      <w:r w:rsidR="00D57FE9">
        <w:rPr>
          <w:rFonts w:ascii="Tahoma" w:hAnsi="Tahoma" w:cs="Tahoma"/>
          <w:sz w:val="20"/>
          <w:lang w:val="en-US"/>
        </w:rPr>
        <w:t>.</w:t>
      </w:r>
      <w:r w:rsidR="00BD71B1">
        <w:rPr>
          <w:rFonts w:ascii="Tahoma" w:hAnsi="Tahoma" w:cs="Tahoma"/>
          <w:sz w:val="20"/>
          <w:lang w:val="en-US"/>
        </w:rPr>
        <w:t xml:space="preserve"> 2020</w:t>
      </w:r>
    </w:p>
    <w:p w:rsidR="00B8409C" w:rsidRPr="009F4FFF" w:rsidRDefault="00B8409C" w:rsidP="0090656C">
      <w:pPr>
        <w:keepNext/>
        <w:keepLines/>
        <w:rPr>
          <w:rFonts w:ascii="Tahoma" w:hAnsi="Tahoma" w:cs="Tahoma"/>
          <w:sz w:val="20"/>
          <w:lang w:val="en-US"/>
        </w:rPr>
      </w:pPr>
    </w:p>
    <w:p w:rsidR="00763D0C" w:rsidRDefault="00763D0C" w:rsidP="0090656C">
      <w:pPr>
        <w:keepNext/>
        <w:keepLines/>
        <w:rPr>
          <w:rFonts w:ascii="Tahoma" w:hAnsi="Tahoma" w:cs="Tahoma"/>
          <w:sz w:val="20"/>
        </w:rPr>
      </w:pPr>
    </w:p>
    <w:p w:rsidR="00B8409C" w:rsidRPr="009F4FFF" w:rsidRDefault="00B8409C" w:rsidP="0090656C">
      <w:pPr>
        <w:keepNext/>
        <w:keepLines/>
        <w:rPr>
          <w:rFonts w:ascii="Tahoma" w:hAnsi="Tahoma" w:cs="Tahoma"/>
          <w:sz w:val="20"/>
        </w:rPr>
      </w:pPr>
      <w:r w:rsidRPr="009F4FFF">
        <w:rPr>
          <w:rFonts w:ascii="Tahoma" w:hAnsi="Tahoma" w:cs="Tahoma"/>
          <w:sz w:val="20"/>
        </w:rPr>
        <w:t>Spoštovani,</w:t>
      </w:r>
    </w:p>
    <w:p w:rsidR="00B8409C" w:rsidRPr="009F4FFF" w:rsidRDefault="00B8409C" w:rsidP="0090656C">
      <w:pPr>
        <w:keepNext/>
        <w:keepLines/>
        <w:rPr>
          <w:rFonts w:ascii="Tahoma" w:hAnsi="Tahoma" w:cs="Tahoma"/>
          <w:sz w:val="20"/>
        </w:rPr>
      </w:pPr>
    </w:p>
    <w:p w:rsidR="007C3B30" w:rsidRDefault="007C3B30" w:rsidP="0090656C">
      <w:pPr>
        <w:keepNext/>
        <w:keepLines/>
        <w:jc w:val="both"/>
        <w:rPr>
          <w:rFonts w:ascii="Tahoma" w:hAnsi="Tahoma" w:cs="Tahoma"/>
          <w:bCs/>
          <w:sz w:val="20"/>
        </w:rPr>
      </w:pPr>
      <w:r>
        <w:rPr>
          <w:rFonts w:ascii="Tahoma" w:hAnsi="Tahoma" w:cs="Tahoma"/>
          <w:bCs/>
          <w:sz w:val="20"/>
        </w:rPr>
        <w:t>objavljamo odgovor</w:t>
      </w:r>
      <w:r w:rsidR="0017401B">
        <w:rPr>
          <w:rFonts w:ascii="Tahoma" w:hAnsi="Tahoma" w:cs="Tahoma"/>
          <w:bCs/>
          <w:sz w:val="20"/>
        </w:rPr>
        <w:t>e na vprašanja gospodarskih subjektov</w:t>
      </w:r>
      <w:r w:rsidRPr="007C3B30">
        <w:rPr>
          <w:rFonts w:ascii="Tahoma" w:hAnsi="Tahoma" w:cs="Tahoma"/>
          <w:bCs/>
          <w:sz w:val="20"/>
        </w:rPr>
        <w:t xml:space="preserve"> </w:t>
      </w:r>
      <w:r w:rsidR="005F0077">
        <w:rPr>
          <w:rFonts w:ascii="Tahoma" w:hAnsi="Tahoma" w:cs="Tahoma"/>
          <w:bCs/>
          <w:sz w:val="20"/>
        </w:rPr>
        <w:t xml:space="preserve">za javno naročilo št. </w:t>
      </w:r>
      <w:r w:rsidR="0090656C">
        <w:rPr>
          <w:rFonts w:ascii="Tahoma" w:hAnsi="Tahoma" w:cs="Tahoma"/>
          <w:bCs/>
          <w:sz w:val="20"/>
        </w:rPr>
        <w:t>VKS-123</w:t>
      </w:r>
      <w:r w:rsidR="00D41734">
        <w:rPr>
          <w:rFonts w:ascii="Tahoma" w:hAnsi="Tahoma" w:cs="Tahoma"/>
          <w:bCs/>
          <w:sz w:val="20"/>
        </w:rPr>
        <w:t>/20</w:t>
      </w:r>
      <w:r w:rsidR="005F0077">
        <w:rPr>
          <w:rFonts w:ascii="Tahoma" w:hAnsi="Tahoma" w:cs="Tahoma"/>
          <w:bCs/>
          <w:sz w:val="20"/>
        </w:rPr>
        <w:t xml:space="preserve"> </w:t>
      </w:r>
      <w:r w:rsidR="0090656C" w:rsidRPr="0090656C">
        <w:rPr>
          <w:rFonts w:ascii="Tahoma" w:hAnsi="Tahoma" w:cs="Tahoma"/>
          <w:bCs/>
          <w:sz w:val="20"/>
        </w:rPr>
        <w:t>Rekonstrukcija vodovoda po Tržaški cesti od Bleiweisove ceste do Poti Rdečega križa sočasno z ureditvijo javnih prometnih in kolesarskih površin ob Tržaški cesti</w:t>
      </w:r>
      <w:r w:rsidR="0017401B">
        <w:rPr>
          <w:rFonts w:ascii="Tahoma" w:hAnsi="Tahoma" w:cs="Tahoma"/>
          <w:bCs/>
          <w:sz w:val="20"/>
        </w:rPr>
        <w:t>, ki smo jih</w:t>
      </w:r>
      <w:r>
        <w:rPr>
          <w:rFonts w:ascii="Tahoma" w:hAnsi="Tahoma" w:cs="Tahoma"/>
          <w:bCs/>
          <w:sz w:val="20"/>
        </w:rPr>
        <w:t xml:space="preserve"> prejeli preko Portala javnih naročil. </w:t>
      </w:r>
    </w:p>
    <w:p w:rsidR="00D41734" w:rsidRDefault="00D41734" w:rsidP="0090656C">
      <w:pPr>
        <w:keepNext/>
        <w:keepLines/>
        <w:jc w:val="both"/>
        <w:rPr>
          <w:rFonts w:ascii="Tahoma" w:hAnsi="Tahoma" w:cs="Tahoma"/>
          <w:bCs/>
          <w:sz w:val="20"/>
        </w:rPr>
      </w:pPr>
    </w:p>
    <w:p w:rsidR="0017401B" w:rsidRPr="007D1E0B" w:rsidRDefault="0017401B" w:rsidP="0017401B">
      <w:pPr>
        <w:keepNext/>
        <w:keepLines/>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17401B" w:rsidRDefault="0017401B" w:rsidP="0017401B">
      <w:pPr>
        <w:keepNext/>
        <w:keepLines/>
        <w:jc w:val="both"/>
        <w:rPr>
          <w:rFonts w:ascii="Tahoma" w:hAnsi="Tahoma" w:cs="Tahoma"/>
          <w:bCs/>
          <w:sz w:val="20"/>
        </w:rPr>
      </w:pPr>
      <w:r w:rsidRPr="0017401B">
        <w:rPr>
          <w:rFonts w:ascii="Tahoma" w:hAnsi="Tahoma" w:cs="Tahoma"/>
          <w:bCs/>
          <w:sz w:val="20"/>
        </w:rPr>
        <w:t>Pri referenci za vodjo gradnje piše,</w:t>
      </w:r>
      <w:r>
        <w:rPr>
          <w:rFonts w:ascii="Tahoma" w:hAnsi="Tahoma" w:cs="Tahoma"/>
          <w:bCs/>
          <w:sz w:val="20"/>
        </w:rPr>
        <w:t xml:space="preserve"> </w:t>
      </w:r>
      <w:r w:rsidRPr="0017401B">
        <w:rPr>
          <w:rFonts w:ascii="Tahoma" w:hAnsi="Tahoma" w:cs="Tahoma"/>
          <w:bCs/>
          <w:sz w:val="20"/>
        </w:rPr>
        <w:t>da mora imeti vsaj eno referenco za vodovod 150 ali več dolžini vsaj 2500m. Kaj to pomeni,</w:t>
      </w:r>
      <w:r>
        <w:rPr>
          <w:rFonts w:ascii="Tahoma" w:hAnsi="Tahoma" w:cs="Tahoma"/>
          <w:bCs/>
          <w:sz w:val="20"/>
        </w:rPr>
        <w:t xml:space="preserve"> </w:t>
      </w:r>
      <w:r w:rsidRPr="0017401B">
        <w:rPr>
          <w:rFonts w:ascii="Tahoma" w:hAnsi="Tahoma" w:cs="Tahoma"/>
          <w:bCs/>
          <w:sz w:val="20"/>
        </w:rPr>
        <w:t>da mora imeti eno za celo dolžino 2500m,ali lahko ima dve in skupaj data dve recimo nekaj čez 2500m? Ker za firmo imate napisano,</w:t>
      </w:r>
      <w:r>
        <w:rPr>
          <w:rFonts w:ascii="Tahoma" w:hAnsi="Tahoma" w:cs="Tahoma"/>
          <w:bCs/>
          <w:sz w:val="20"/>
        </w:rPr>
        <w:t xml:space="preserve"> </w:t>
      </w:r>
      <w:r w:rsidRPr="0017401B">
        <w:rPr>
          <w:rFonts w:ascii="Tahoma" w:hAnsi="Tahoma" w:cs="Tahoma"/>
          <w:bCs/>
          <w:sz w:val="20"/>
        </w:rPr>
        <w:t>da mora vsaj z dvema dati referenco za skupaj vsaj 5000m in to pomeni,</w:t>
      </w:r>
      <w:r>
        <w:rPr>
          <w:rFonts w:ascii="Tahoma" w:hAnsi="Tahoma" w:cs="Tahoma"/>
          <w:bCs/>
          <w:sz w:val="20"/>
        </w:rPr>
        <w:t xml:space="preserve"> </w:t>
      </w:r>
      <w:r w:rsidRPr="0017401B">
        <w:rPr>
          <w:rFonts w:ascii="Tahoma" w:hAnsi="Tahoma" w:cs="Tahoma"/>
          <w:bCs/>
          <w:sz w:val="20"/>
        </w:rPr>
        <w:t>da lahko na</w:t>
      </w:r>
      <w:r>
        <w:rPr>
          <w:rFonts w:ascii="Tahoma" w:hAnsi="Tahoma" w:cs="Tahoma"/>
          <w:bCs/>
          <w:sz w:val="20"/>
        </w:rPr>
        <w:t xml:space="preserve"> </w:t>
      </w:r>
      <w:r w:rsidRPr="0017401B">
        <w:rPr>
          <w:rFonts w:ascii="Tahoma" w:hAnsi="Tahoma" w:cs="Tahoma"/>
          <w:bCs/>
          <w:sz w:val="20"/>
        </w:rPr>
        <w:t xml:space="preserve">primer tudi s tremi doseže to dolžino. </w:t>
      </w:r>
    </w:p>
    <w:p w:rsidR="0017401B" w:rsidRPr="0017401B" w:rsidRDefault="0017401B" w:rsidP="0017401B">
      <w:pPr>
        <w:keepNext/>
        <w:keepLines/>
        <w:jc w:val="both"/>
        <w:rPr>
          <w:rFonts w:ascii="Tahoma" w:hAnsi="Tahoma" w:cs="Tahoma"/>
          <w:bCs/>
          <w:sz w:val="20"/>
        </w:rPr>
      </w:pPr>
      <w:r w:rsidRPr="0017401B">
        <w:rPr>
          <w:rFonts w:ascii="Tahoma" w:hAnsi="Tahoma" w:cs="Tahoma"/>
          <w:bCs/>
          <w:sz w:val="20"/>
        </w:rPr>
        <w:br/>
        <w:t xml:space="preserve">Je isto dovoljeno za vodjo gradnje in </w:t>
      </w:r>
      <w:r w:rsidR="008A796A">
        <w:rPr>
          <w:rFonts w:ascii="Tahoma" w:hAnsi="Tahoma" w:cs="Tahoma"/>
          <w:bCs/>
          <w:sz w:val="20"/>
        </w:rPr>
        <w:t xml:space="preserve">lahko tudi več kot z eno </w:t>
      </w:r>
      <w:proofErr w:type="spellStart"/>
      <w:r w:rsidR="008A796A">
        <w:rPr>
          <w:rFonts w:ascii="Tahoma" w:hAnsi="Tahoma" w:cs="Tahoma"/>
          <w:bCs/>
          <w:sz w:val="20"/>
        </w:rPr>
        <w:t>refereč</w:t>
      </w:r>
      <w:r w:rsidRPr="0017401B">
        <w:rPr>
          <w:rFonts w:ascii="Tahoma" w:hAnsi="Tahoma" w:cs="Tahoma"/>
          <w:bCs/>
          <w:sz w:val="20"/>
        </w:rPr>
        <w:t>no</w:t>
      </w:r>
      <w:proofErr w:type="spellEnd"/>
      <w:r w:rsidRPr="0017401B">
        <w:rPr>
          <w:rFonts w:ascii="Tahoma" w:hAnsi="Tahoma" w:cs="Tahoma"/>
          <w:bCs/>
          <w:sz w:val="20"/>
        </w:rPr>
        <w:t xml:space="preserve"> dokaže 5000m vode dn150? </w:t>
      </w:r>
    </w:p>
    <w:p w:rsidR="0017401B" w:rsidRPr="0090656C" w:rsidRDefault="0017401B" w:rsidP="0017401B">
      <w:pPr>
        <w:keepNext/>
        <w:keepLines/>
        <w:jc w:val="both"/>
        <w:rPr>
          <w:rFonts w:ascii="Tahoma" w:hAnsi="Tahoma" w:cs="Tahoma"/>
          <w:bCs/>
          <w:sz w:val="20"/>
        </w:rPr>
      </w:pPr>
    </w:p>
    <w:p w:rsidR="0017401B" w:rsidRPr="007D1E0B" w:rsidRDefault="0017401B" w:rsidP="0017401B">
      <w:pPr>
        <w:keepNext/>
        <w:keepLines/>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E10EA4" w:rsidRDefault="00E10EA4" w:rsidP="00E10EA4">
      <w:pPr>
        <w:keepNext/>
        <w:keepLines/>
        <w:jc w:val="both"/>
        <w:rPr>
          <w:rFonts w:ascii="Tahoma" w:hAnsi="Tahoma" w:cs="Tahoma"/>
          <w:bCs/>
          <w:sz w:val="20"/>
        </w:rPr>
      </w:pPr>
      <w:r w:rsidRPr="00E10EA4">
        <w:rPr>
          <w:rFonts w:ascii="Tahoma" w:hAnsi="Tahoma" w:cs="Tahoma"/>
          <w:bCs/>
          <w:sz w:val="20"/>
        </w:rPr>
        <w:t xml:space="preserve">Naročnik pri prvi alineji referenčnih pogojev za ponudnika omogoča seštevanje referenčnih dolžin zgrajenih oz. obnovljenih vodovodov. Torej teoretično ponudnik pogoj »najmanj dve (2) izvedbi gradnje/obnove javnih vodovodov iz </w:t>
      </w:r>
      <w:proofErr w:type="spellStart"/>
      <w:r w:rsidRPr="00E10EA4">
        <w:rPr>
          <w:rFonts w:ascii="Tahoma" w:hAnsi="Tahoma" w:cs="Tahoma"/>
          <w:bCs/>
          <w:sz w:val="20"/>
        </w:rPr>
        <w:t>nodularne</w:t>
      </w:r>
      <w:proofErr w:type="spellEnd"/>
      <w:r w:rsidRPr="00E10EA4">
        <w:rPr>
          <w:rFonts w:ascii="Tahoma" w:hAnsi="Tahoma" w:cs="Tahoma"/>
          <w:bCs/>
          <w:sz w:val="20"/>
        </w:rPr>
        <w:t xml:space="preserve"> litine DN150 ali več v skupni dolžini vsaj 5.000m'« izpolni lahko tudi npr. z desetimi referenčnimi deli.</w:t>
      </w:r>
    </w:p>
    <w:p w:rsidR="00E10EA4" w:rsidRPr="00E10EA4" w:rsidRDefault="00E10EA4" w:rsidP="00E10EA4">
      <w:pPr>
        <w:keepNext/>
        <w:keepLines/>
        <w:jc w:val="both"/>
        <w:rPr>
          <w:rFonts w:ascii="Tahoma" w:hAnsi="Tahoma" w:cs="Tahoma"/>
          <w:bCs/>
          <w:sz w:val="20"/>
        </w:rPr>
      </w:pPr>
    </w:p>
    <w:p w:rsidR="00E10EA4" w:rsidRPr="00E10EA4" w:rsidRDefault="00E10EA4" w:rsidP="00E10EA4">
      <w:pPr>
        <w:keepNext/>
        <w:keepLines/>
        <w:jc w:val="both"/>
        <w:rPr>
          <w:rFonts w:ascii="Tahoma" w:hAnsi="Tahoma" w:cs="Tahoma"/>
          <w:bCs/>
          <w:sz w:val="20"/>
        </w:rPr>
      </w:pPr>
      <w:r w:rsidRPr="00E10EA4">
        <w:rPr>
          <w:rFonts w:ascii="Tahoma" w:hAnsi="Tahoma" w:cs="Tahoma"/>
          <w:bCs/>
          <w:sz w:val="20"/>
        </w:rPr>
        <w:t>Zahtevi »od tega DN200 ali več v dolžini vsaj 200m'« in »najmanj ena (1) izvedba hišnih priključkov, kjer se je obnovilo min. 60 hišnih priključkov (znotraj ene pogodbe/sklopa)« pa morata biti izpolnjeni z po enim referenčnim poslom.</w:t>
      </w:r>
    </w:p>
    <w:p w:rsidR="00E10EA4" w:rsidRPr="00E10EA4" w:rsidRDefault="00E10EA4" w:rsidP="00E10EA4">
      <w:pPr>
        <w:keepNext/>
        <w:keepLines/>
        <w:jc w:val="both"/>
        <w:rPr>
          <w:rFonts w:ascii="Tahoma" w:hAnsi="Tahoma" w:cs="Tahoma"/>
          <w:bCs/>
          <w:sz w:val="20"/>
        </w:rPr>
      </w:pPr>
    </w:p>
    <w:p w:rsidR="00E10EA4" w:rsidRPr="00E10EA4" w:rsidRDefault="00E10EA4" w:rsidP="00E665E8">
      <w:pPr>
        <w:keepNext/>
        <w:keepLines/>
        <w:pBdr>
          <w:bottom w:val="single" w:sz="4" w:space="1" w:color="auto"/>
        </w:pBdr>
        <w:jc w:val="both"/>
        <w:rPr>
          <w:rFonts w:ascii="Tahoma" w:hAnsi="Tahoma" w:cs="Tahoma"/>
          <w:bCs/>
          <w:sz w:val="20"/>
        </w:rPr>
      </w:pPr>
      <w:r w:rsidRPr="00E10EA4">
        <w:rPr>
          <w:rFonts w:ascii="Tahoma" w:hAnsi="Tahoma" w:cs="Tahoma"/>
          <w:bCs/>
          <w:sz w:val="20"/>
        </w:rPr>
        <w:t>Pri zahtevah po referenčnih delih vodje gradnje oz. vodje del pa je naročnik postavil kriterij enak kot bodo izvedene dolžine vodovodov na projektu. In od te zahteve zaradi narave dela, obsežnosti in težavnosti izvedbe ne odstopa.</w:t>
      </w:r>
    </w:p>
    <w:p w:rsidR="0017401B" w:rsidRDefault="0017401B" w:rsidP="00E665E8">
      <w:pPr>
        <w:keepNext/>
        <w:keepLines/>
        <w:tabs>
          <w:tab w:val="left" w:pos="8505"/>
        </w:tabs>
        <w:jc w:val="both"/>
        <w:rPr>
          <w:rFonts w:ascii="Tahoma" w:hAnsi="Tahoma" w:cs="Tahoma"/>
          <w:color w:val="FF0000"/>
          <w:sz w:val="20"/>
        </w:rPr>
      </w:pPr>
    </w:p>
    <w:p w:rsidR="0017401B" w:rsidRPr="007D1E0B" w:rsidRDefault="0017401B" w:rsidP="0017401B">
      <w:pPr>
        <w:keepNext/>
        <w:keepLines/>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8A796A" w:rsidRDefault="008A796A" w:rsidP="008A796A">
      <w:pPr>
        <w:keepNext/>
        <w:keepLines/>
        <w:jc w:val="both"/>
        <w:rPr>
          <w:rFonts w:ascii="Tahoma" w:hAnsi="Tahoma" w:cs="Tahoma"/>
          <w:bCs/>
          <w:sz w:val="20"/>
        </w:rPr>
      </w:pPr>
      <w:r w:rsidRPr="008A796A">
        <w:rPr>
          <w:rFonts w:ascii="Tahoma" w:hAnsi="Tahoma" w:cs="Tahoma"/>
          <w:bCs/>
          <w:sz w:val="20"/>
        </w:rPr>
        <w:t xml:space="preserve">Naročnik v razpisni dokumentaciji na strani 11 postavlja pogoj za reference in sicer: </w:t>
      </w:r>
      <w:r w:rsidRPr="008A796A">
        <w:rPr>
          <w:rFonts w:ascii="Tahoma" w:hAnsi="Tahoma" w:cs="Tahoma"/>
          <w:bCs/>
          <w:sz w:val="20"/>
        </w:rPr>
        <w:br/>
        <w:t>"Ponudnik mora s potrjenimi referenčnimi izjavami s strani dejanskih investitorjev v ponudbi izkazati, da je v zadnjih petih (5) letih pred oddajo ponudbe, kvalitetno in pravočasno ter v skladu s sklenjeno pogodbo izvedel:</w:t>
      </w:r>
      <w:r w:rsidRPr="008A796A">
        <w:rPr>
          <w:rFonts w:ascii="Tahoma" w:hAnsi="Tahoma" w:cs="Tahoma"/>
          <w:bCs/>
          <w:sz w:val="20"/>
        </w:rPr>
        <w:br/>
        <w:t xml:space="preserve">- najmanj dve (2) izvedbi gradnje/obnove javnih vodovodov iz </w:t>
      </w:r>
      <w:proofErr w:type="spellStart"/>
      <w:r w:rsidRPr="008A796A">
        <w:rPr>
          <w:rFonts w:ascii="Tahoma" w:hAnsi="Tahoma" w:cs="Tahoma"/>
          <w:bCs/>
          <w:sz w:val="20"/>
        </w:rPr>
        <w:t>nodularne</w:t>
      </w:r>
      <w:proofErr w:type="spellEnd"/>
      <w:r w:rsidRPr="008A796A">
        <w:rPr>
          <w:rFonts w:ascii="Tahoma" w:hAnsi="Tahoma" w:cs="Tahoma"/>
          <w:bCs/>
          <w:sz w:val="20"/>
        </w:rPr>
        <w:t xml:space="preserve"> litine DN150 ali več v skupni dolžini vsaj 5.000m'</w:t>
      </w:r>
      <w:r>
        <w:rPr>
          <w:rFonts w:ascii="Tahoma" w:hAnsi="Tahoma" w:cs="Tahoma"/>
          <w:bCs/>
          <w:sz w:val="20"/>
        </w:rPr>
        <w:t xml:space="preserve"> </w:t>
      </w:r>
      <w:r w:rsidRPr="008A796A">
        <w:rPr>
          <w:rFonts w:ascii="Tahoma" w:hAnsi="Tahoma" w:cs="Tahoma"/>
          <w:bCs/>
          <w:sz w:val="20"/>
        </w:rPr>
        <w:t>od tega DN200 ali več v dolžini vsaj 200m'</w:t>
      </w:r>
    </w:p>
    <w:p w:rsidR="008A796A" w:rsidRDefault="008A796A" w:rsidP="008A796A">
      <w:pPr>
        <w:keepNext/>
        <w:keepLines/>
        <w:jc w:val="both"/>
        <w:rPr>
          <w:rFonts w:ascii="Tahoma" w:hAnsi="Tahoma" w:cs="Tahoma"/>
          <w:bCs/>
          <w:sz w:val="20"/>
        </w:rPr>
      </w:pPr>
      <w:r w:rsidRPr="008A796A">
        <w:rPr>
          <w:rFonts w:ascii="Tahoma" w:hAnsi="Tahoma" w:cs="Tahoma"/>
          <w:bCs/>
          <w:sz w:val="20"/>
        </w:rPr>
        <w:t>- najmanj ena (1) izvedba hišnih priključkov, kjer se je obnovilo min. 60 hišnih priključkov (znotraj ene pogodbe/sklopa)"</w:t>
      </w:r>
      <w:r>
        <w:rPr>
          <w:rFonts w:ascii="Tahoma" w:hAnsi="Tahoma" w:cs="Tahoma"/>
          <w:bCs/>
          <w:sz w:val="20"/>
        </w:rPr>
        <w:t>.</w:t>
      </w:r>
      <w:r w:rsidRPr="008A796A">
        <w:rPr>
          <w:rFonts w:ascii="Tahoma" w:hAnsi="Tahoma" w:cs="Tahoma"/>
          <w:bCs/>
          <w:sz w:val="20"/>
        </w:rPr>
        <w:br/>
        <w:t>Naročnik bo štel eno pogodbo za eno referenco.</w:t>
      </w:r>
    </w:p>
    <w:p w:rsidR="008A796A" w:rsidRPr="008A796A" w:rsidRDefault="008A796A" w:rsidP="008A796A">
      <w:pPr>
        <w:keepNext/>
        <w:keepLines/>
        <w:jc w:val="both"/>
        <w:rPr>
          <w:rFonts w:ascii="Tahoma" w:hAnsi="Tahoma" w:cs="Tahoma"/>
          <w:bCs/>
          <w:sz w:val="20"/>
        </w:rPr>
      </w:pPr>
      <w:r w:rsidRPr="008A796A">
        <w:rPr>
          <w:rFonts w:ascii="Tahoma" w:hAnsi="Tahoma" w:cs="Tahoma"/>
          <w:bCs/>
          <w:sz w:val="20"/>
        </w:rPr>
        <w:lastRenderedPageBreak/>
        <w:br/>
        <w:t xml:space="preserve">Glede na to, da navajate, da se bo štela ena pogodba za eno referenco nas zanima ali to velja tudi za izvedbo hišnih priključkov. Menimo, da ni smiselno, da bi morali za hišne priključke prilagati svojo referenco, saj se izvajajo z isto pogodbo, kot se izvaja vodovod. Prosimo, da omogočite, da referenčni pogoj za hišne priključke izpolnimo z eno od dveh referenc, ki jih bomo priložili za izpolnjevanje gradnje/obnove vodovoda. </w:t>
      </w:r>
      <w:r w:rsidRPr="008A796A">
        <w:rPr>
          <w:rFonts w:ascii="Tahoma" w:hAnsi="Tahoma" w:cs="Tahoma"/>
          <w:bCs/>
          <w:sz w:val="20"/>
        </w:rPr>
        <w:br/>
        <w:t xml:space="preserve">To velja za izpolnjevanje referenčnega pogoja za podjetje in za vodjo gradnje. </w:t>
      </w:r>
    </w:p>
    <w:p w:rsidR="00E10EA4" w:rsidRDefault="00E10EA4" w:rsidP="00E10EA4">
      <w:pPr>
        <w:keepNext/>
        <w:keepLines/>
        <w:tabs>
          <w:tab w:val="left" w:pos="8505"/>
        </w:tabs>
        <w:spacing w:after="120"/>
        <w:jc w:val="both"/>
        <w:rPr>
          <w:rFonts w:ascii="Tahoma" w:hAnsi="Tahoma" w:cs="Tahoma"/>
          <w:color w:val="00B050"/>
          <w:sz w:val="20"/>
        </w:rPr>
      </w:pPr>
    </w:p>
    <w:p w:rsidR="00E10EA4" w:rsidRPr="007D1E0B" w:rsidRDefault="00E10EA4" w:rsidP="00E10EA4">
      <w:pPr>
        <w:keepNext/>
        <w:keepLines/>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E10EA4" w:rsidRPr="00E10EA4" w:rsidRDefault="00E10EA4" w:rsidP="00E10EA4">
      <w:pPr>
        <w:keepNext/>
        <w:keepLines/>
        <w:jc w:val="both"/>
        <w:rPr>
          <w:rFonts w:ascii="Tahoma" w:hAnsi="Tahoma" w:cs="Tahoma"/>
          <w:bCs/>
          <w:sz w:val="20"/>
        </w:rPr>
      </w:pPr>
      <w:r w:rsidRPr="00E10EA4">
        <w:rPr>
          <w:rFonts w:ascii="Tahoma" w:hAnsi="Tahoma" w:cs="Tahoma"/>
          <w:bCs/>
          <w:sz w:val="20"/>
        </w:rPr>
        <w:t xml:space="preserve">Naročnik s pogojem »najmanj ena (1) izvedba hišnih priključkov, kjer se je obnovilo min. 60 hišnih priključkov (znotraj ene pogodbe/sklopa)« zahteva dokazilo o referenčnem delu, kjer so je znotraj ene pogodbe obnovilo (ali zgradilo) vsaj 60 hišnih priključkov.  </w:t>
      </w:r>
    </w:p>
    <w:p w:rsidR="00E10EA4" w:rsidRDefault="00E10EA4" w:rsidP="00E10EA4">
      <w:pPr>
        <w:keepNext/>
        <w:keepLines/>
        <w:jc w:val="both"/>
        <w:rPr>
          <w:rFonts w:ascii="Tahoma" w:hAnsi="Tahoma" w:cs="Tahoma"/>
          <w:bCs/>
          <w:sz w:val="20"/>
        </w:rPr>
      </w:pPr>
    </w:p>
    <w:p w:rsidR="00E10EA4" w:rsidRPr="00E10EA4" w:rsidRDefault="00E10EA4" w:rsidP="00E10EA4">
      <w:pPr>
        <w:keepNext/>
        <w:keepLines/>
        <w:jc w:val="both"/>
        <w:rPr>
          <w:rFonts w:ascii="Tahoma" w:hAnsi="Tahoma" w:cs="Tahoma"/>
          <w:bCs/>
          <w:sz w:val="20"/>
        </w:rPr>
      </w:pPr>
      <w:r w:rsidRPr="00E10EA4">
        <w:rPr>
          <w:rFonts w:ascii="Tahoma" w:hAnsi="Tahoma" w:cs="Tahoma"/>
          <w:bCs/>
          <w:sz w:val="20"/>
        </w:rPr>
        <w:t>Ponudniki lahko referenco izkažejo skupaj z izvedbo vodovoda po isti pogodbi (v kolikor ustreza min. pogojem »</w:t>
      </w:r>
      <w:proofErr w:type="spellStart"/>
      <w:r w:rsidRPr="00E10EA4">
        <w:rPr>
          <w:rFonts w:ascii="Tahoma" w:hAnsi="Tahoma" w:cs="Tahoma"/>
          <w:bCs/>
          <w:sz w:val="20"/>
        </w:rPr>
        <w:t>nodularna</w:t>
      </w:r>
      <w:proofErr w:type="spellEnd"/>
      <w:r w:rsidRPr="00E10EA4">
        <w:rPr>
          <w:rFonts w:ascii="Tahoma" w:hAnsi="Tahoma" w:cs="Tahoma"/>
          <w:bCs/>
          <w:sz w:val="20"/>
        </w:rPr>
        <w:t xml:space="preserve"> litina in DN150 ali več) na enem referenčnem potrdilu iz katerega mora biti jasno razvidno in s strani naročnika referenčnega dela potrjeno, da so bila dela dejansko izvedena. </w:t>
      </w:r>
    </w:p>
    <w:p w:rsidR="00E10EA4" w:rsidRDefault="00E10EA4" w:rsidP="00E10EA4">
      <w:pPr>
        <w:keepNext/>
        <w:keepLines/>
        <w:jc w:val="both"/>
        <w:rPr>
          <w:rFonts w:ascii="Tahoma" w:hAnsi="Tahoma" w:cs="Tahoma"/>
          <w:bCs/>
          <w:sz w:val="20"/>
        </w:rPr>
      </w:pPr>
    </w:p>
    <w:p w:rsidR="00E10EA4" w:rsidRPr="00E10EA4" w:rsidRDefault="00E10EA4" w:rsidP="00E10EA4">
      <w:pPr>
        <w:keepNext/>
        <w:keepLines/>
        <w:pBdr>
          <w:bottom w:val="single" w:sz="4" w:space="1" w:color="auto"/>
        </w:pBdr>
        <w:jc w:val="both"/>
        <w:rPr>
          <w:rFonts w:ascii="Tahoma" w:hAnsi="Tahoma" w:cs="Tahoma"/>
          <w:bCs/>
          <w:sz w:val="20"/>
        </w:rPr>
      </w:pPr>
      <w:r w:rsidRPr="00E10EA4">
        <w:rPr>
          <w:rFonts w:ascii="Tahoma" w:hAnsi="Tahoma" w:cs="Tahoma"/>
          <w:bCs/>
          <w:sz w:val="20"/>
        </w:rPr>
        <w:t>Z navedbo »Naročnik bo štel eno pogodbo za eno referenco.« je naročnik ponudnikom zgolj onemogočil delitev referenc iz ene (1) večje pogodbe na večje število manjših referenc, da bi zadostil zahtevi po min. številu referenčnih objektov.</w:t>
      </w:r>
    </w:p>
    <w:p w:rsidR="00E10EA4" w:rsidRDefault="00E10EA4" w:rsidP="00E10EA4">
      <w:pPr>
        <w:keepNext/>
        <w:keepLines/>
        <w:tabs>
          <w:tab w:val="left" w:pos="8505"/>
        </w:tabs>
        <w:jc w:val="both"/>
        <w:rPr>
          <w:rFonts w:ascii="Tahoma" w:hAnsi="Tahoma" w:cs="Tahoma"/>
          <w:color w:val="FF0000"/>
          <w:sz w:val="20"/>
        </w:rPr>
      </w:pPr>
    </w:p>
    <w:p w:rsidR="00E10EA4" w:rsidRPr="007D1E0B" w:rsidRDefault="00E10EA4" w:rsidP="00E10EA4">
      <w:pPr>
        <w:keepNext/>
        <w:keepLines/>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8A796A" w:rsidRPr="008A796A" w:rsidRDefault="00E10EA4" w:rsidP="008A796A">
      <w:pPr>
        <w:keepNext/>
        <w:keepLines/>
        <w:jc w:val="both"/>
        <w:rPr>
          <w:rFonts w:ascii="Tahoma" w:hAnsi="Tahoma" w:cs="Tahoma"/>
          <w:bCs/>
          <w:sz w:val="20"/>
        </w:rPr>
      </w:pPr>
      <w:r>
        <w:rPr>
          <w:rFonts w:ascii="Tahoma" w:hAnsi="Tahoma" w:cs="Tahoma"/>
          <w:bCs/>
          <w:sz w:val="20"/>
        </w:rPr>
        <w:t>N</w:t>
      </w:r>
      <w:r w:rsidR="008A796A" w:rsidRPr="008A796A">
        <w:rPr>
          <w:rFonts w:ascii="Tahoma" w:hAnsi="Tahoma" w:cs="Tahoma"/>
          <w:bCs/>
          <w:sz w:val="20"/>
        </w:rPr>
        <w:t xml:space="preserve">aročnik v poglavju 3.2.6. Reference pod točko 1) in 2) od ponudnikov zahteva, da izkažejo izpolnjevanje referenčnih pogojev za zadnjih 5 let pred oddajo ponudbe. </w:t>
      </w:r>
    </w:p>
    <w:p w:rsidR="008A796A" w:rsidRDefault="008A796A" w:rsidP="008A796A">
      <w:pPr>
        <w:keepNext/>
        <w:keepLines/>
        <w:jc w:val="both"/>
        <w:rPr>
          <w:rFonts w:ascii="Tahoma" w:hAnsi="Tahoma" w:cs="Tahoma"/>
          <w:bCs/>
          <w:sz w:val="20"/>
        </w:rPr>
      </w:pPr>
      <w:r w:rsidRPr="008A796A">
        <w:rPr>
          <w:rFonts w:ascii="Tahoma" w:hAnsi="Tahoma" w:cs="Tahoma"/>
          <w:bCs/>
          <w:sz w:val="20"/>
        </w:rPr>
        <w:br/>
        <w:t xml:space="preserve">Glede na to, da je naročnik za podjetje in vodjo gradnje predvidel zelo zahtevne reference, ga naprošamo, da rok izpolnjevanja referenčnih pogojev iz 5 let pred oddajo ponudbe podaljša tako, da bo upošteval reference od 1. 1. 2015 naprej. </w:t>
      </w:r>
    </w:p>
    <w:p w:rsidR="008A796A" w:rsidRPr="008A796A" w:rsidRDefault="008A796A" w:rsidP="008A796A">
      <w:pPr>
        <w:keepNext/>
        <w:keepLines/>
        <w:jc w:val="both"/>
        <w:rPr>
          <w:rFonts w:ascii="Tahoma" w:hAnsi="Tahoma" w:cs="Tahoma"/>
          <w:bCs/>
          <w:sz w:val="20"/>
        </w:rPr>
      </w:pPr>
      <w:r w:rsidRPr="008A796A">
        <w:rPr>
          <w:rFonts w:ascii="Tahoma" w:hAnsi="Tahoma" w:cs="Tahoma"/>
          <w:bCs/>
          <w:sz w:val="20"/>
        </w:rPr>
        <w:br/>
        <w:t xml:space="preserve">S tem naročnik ne bo na noben način ogrozil ali zmanjšal strokovnosti in tehnične ter kadrovske sposobnosti ponudnikov, temveč bo zgolj omogočil </w:t>
      </w:r>
      <w:proofErr w:type="spellStart"/>
      <w:r w:rsidRPr="008A796A">
        <w:rPr>
          <w:rFonts w:ascii="Tahoma" w:hAnsi="Tahoma" w:cs="Tahoma"/>
          <w:bCs/>
          <w:sz w:val="20"/>
        </w:rPr>
        <w:t>večim</w:t>
      </w:r>
      <w:proofErr w:type="spellEnd"/>
      <w:r w:rsidRPr="008A796A">
        <w:rPr>
          <w:rFonts w:ascii="Tahoma" w:hAnsi="Tahoma" w:cs="Tahoma"/>
          <w:bCs/>
          <w:sz w:val="20"/>
        </w:rPr>
        <w:t xml:space="preserve"> strokovno in kadrovsko usposobljenim ponudnikom, da bodo lahko oddali ponudbo za predmetno javno naročilo. Na ta način bo povečana učinkovitost in ekonomičnost javnega naročila, kar je eno od temeljnih načel postopkov javnega naročanja skladno z ZJN-3. Hkrati bo na tak način postavljen pogoj tudi bistveno bolj nedvoumen, saj bi se denimo v primeru podaljšanja roka za oddajo ponudb (ki je trenutno 22. 7. 2020) lahko zgodilo, da bi ponudnikova referenca za posel, končan recimo 21. 7. 2015, v primeru podaljšanja roka oddaje za isto javno naročilo za nekaj dni, ne veljala več, bi pa veljala, če rok ne bi bil podaljšan. Slednje seveda ni </w:t>
      </w:r>
      <w:proofErr w:type="spellStart"/>
      <w:r w:rsidRPr="008A796A">
        <w:rPr>
          <w:rFonts w:ascii="Tahoma" w:hAnsi="Tahoma" w:cs="Tahoma"/>
          <w:bCs/>
          <w:sz w:val="20"/>
        </w:rPr>
        <w:t>smoterno</w:t>
      </w:r>
      <w:proofErr w:type="spellEnd"/>
      <w:r w:rsidRPr="008A796A">
        <w:rPr>
          <w:rFonts w:ascii="Tahoma" w:hAnsi="Tahoma" w:cs="Tahoma"/>
          <w:bCs/>
          <w:sz w:val="20"/>
        </w:rPr>
        <w:t xml:space="preserve"> in gotovo ni namen naročnika.</w:t>
      </w:r>
    </w:p>
    <w:p w:rsidR="008A796A" w:rsidRPr="00E10EA4" w:rsidRDefault="008A796A" w:rsidP="00E10EA4">
      <w:pPr>
        <w:keepNext/>
        <w:keepLines/>
        <w:jc w:val="both"/>
        <w:rPr>
          <w:rFonts w:ascii="Tahoma" w:hAnsi="Tahoma" w:cs="Tahoma"/>
          <w:bCs/>
          <w:sz w:val="20"/>
        </w:rPr>
      </w:pPr>
      <w:r w:rsidRPr="008A796A">
        <w:rPr>
          <w:rFonts w:ascii="Tahoma" w:hAnsi="Tahoma" w:cs="Tahoma"/>
          <w:bCs/>
          <w:sz w:val="20"/>
        </w:rPr>
        <w:t xml:space="preserve"> </w:t>
      </w:r>
      <w:r w:rsidRPr="008A796A">
        <w:rPr>
          <w:rFonts w:ascii="Tahoma" w:hAnsi="Tahoma" w:cs="Tahoma"/>
          <w:bCs/>
          <w:sz w:val="20"/>
        </w:rPr>
        <w:br/>
        <w:t xml:space="preserve">Naročnika tako prosimo, da potrdi, da bo kot ustrezne reference pod točko 1) in 2) v poglavju 3.2.6., upošteval referenčna dela, izvedena od 1. 1. 2015 dalje. Prosimo </w:t>
      </w:r>
      <w:r w:rsidR="00E10EA4">
        <w:rPr>
          <w:rFonts w:ascii="Tahoma" w:hAnsi="Tahoma" w:cs="Tahoma"/>
          <w:bCs/>
          <w:sz w:val="20"/>
        </w:rPr>
        <w:t>za čim hitrejši odgovor. Hvala.</w:t>
      </w:r>
    </w:p>
    <w:p w:rsidR="00E10EA4" w:rsidRDefault="00E10EA4" w:rsidP="00E10EA4">
      <w:pPr>
        <w:keepNext/>
        <w:keepLines/>
        <w:tabs>
          <w:tab w:val="left" w:pos="8505"/>
        </w:tabs>
        <w:jc w:val="both"/>
        <w:rPr>
          <w:rFonts w:ascii="Tahoma" w:hAnsi="Tahoma" w:cs="Tahoma"/>
          <w:color w:val="00B050"/>
          <w:sz w:val="20"/>
        </w:rPr>
      </w:pPr>
    </w:p>
    <w:p w:rsidR="00E10EA4" w:rsidRPr="007D1E0B" w:rsidRDefault="00E10EA4" w:rsidP="00E10EA4">
      <w:pPr>
        <w:keepNext/>
        <w:keepLines/>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E10EA4" w:rsidRPr="00E10EA4" w:rsidRDefault="00E10EA4" w:rsidP="00E10EA4">
      <w:pPr>
        <w:keepNext/>
        <w:keepLines/>
        <w:jc w:val="both"/>
        <w:rPr>
          <w:rFonts w:ascii="Tahoma" w:hAnsi="Tahoma" w:cs="Tahoma"/>
          <w:bCs/>
          <w:sz w:val="20"/>
        </w:rPr>
      </w:pPr>
      <w:r w:rsidRPr="00E10EA4">
        <w:rPr>
          <w:rFonts w:ascii="Tahoma" w:hAnsi="Tahoma" w:cs="Tahoma"/>
          <w:bCs/>
          <w:sz w:val="20"/>
        </w:rPr>
        <w:t xml:space="preserve">Kot je že v svoji utemeljitvi vprašanja ponudnik izpostavil se pogoj za reference šteje za obdobje od dneva oddaje ponudb – </w:t>
      </w:r>
      <w:proofErr w:type="spellStart"/>
      <w:r w:rsidRPr="00E10EA4">
        <w:rPr>
          <w:rFonts w:ascii="Tahoma" w:hAnsi="Tahoma" w:cs="Tahoma"/>
          <w:bCs/>
          <w:sz w:val="20"/>
        </w:rPr>
        <w:t>t.j</w:t>
      </w:r>
      <w:proofErr w:type="spellEnd"/>
      <w:r w:rsidRPr="00E10EA4">
        <w:rPr>
          <w:rFonts w:ascii="Tahoma" w:hAnsi="Tahoma" w:cs="Tahoma"/>
          <w:bCs/>
          <w:sz w:val="20"/>
        </w:rPr>
        <w:t>. v danem razpisu 22.07.2020. Referenčno delo, ki je bilo zaključeno 21.07.2015 v tem primeru že tako ali tako ne izpolnjuje naročnikovih zahtev – ne glede na morebitna prestavljanja rokov oddaje ponudb. Tudi če bi se naročnik odločil prestaviti rok oddaje ponudb je z različnimi odločitvami odgovornih institucij zavezan upoštevati osnovni, prvotno določeni datum za oddajo ponudb, kar ponudnikom ne predstavlja nobenih novih pogojevanj.</w:t>
      </w:r>
    </w:p>
    <w:p w:rsidR="00E10EA4" w:rsidRPr="00E10EA4" w:rsidRDefault="00E10EA4" w:rsidP="00E10EA4">
      <w:pPr>
        <w:keepNext/>
        <w:keepLines/>
        <w:jc w:val="both"/>
        <w:rPr>
          <w:rFonts w:ascii="Tahoma" w:hAnsi="Tahoma" w:cs="Tahoma"/>
          <w:bCs/>
          <w:sz w:val="20"/>
        </w:rPr>
      </w:pPr>
      <w:r w:rsidRPr="00E10EA4">
        <w:rPr>
          <w:rFonts w:ascii="Tahoma" w:hAnsi="Tahoma" w:cs="Tahoma"/>
          <w:bCs/>
          <w:sz w:val="20"/>
        </w:rPr>
        <w:t> </w:t>
      </w:r>
    </w:p>
    <w:p w:rsidR="00E10EA4" w:rsidRPr="00E10EA4" w:rsidRDefault="00E10EA4" w:rsidP="00E10EA4">
      <w:pPr>
        <w:keepNext/>
        <w:keepLines/>
        <w:pBdr>
          <w:bottom w:val="single" w:sz="4" w:space="1" w:color="auto"/>
        </w:pBdr>
        <w:jc w:val="both"/>
        <w:rPr>
          <w:rFonts w:ascii="Tahoma" w:hAnsi="Tahoma" w:cs="Tahoma"/>
          <w:bCs/>
          <w:sz w:val="20"/>
        </w:rPr>
      </w:pPr>
      <w:r w:rsidRPr="00E10EA4">
        <w:rPr>
          <w:rFonts w:ascii="Tahoma" w:hAnsi="Tahoma" w:cs="Tahoma"/>
          <w:bCs/>
          <w:sz w:val="20"/>
        </w:rPr>
        <w:t>Ne glede na zgoraj zapisano se je naročnik odločil, da »odpre« in »nekaterim ponudnikom bolj jasno« opredeli termin v zadnjih 5 letih s tem, da določi presečni datum 01.01.2015!  Torej, naročnik bo kot ustrezna referenčna dela upošteval tista, ki so bila zaključena in prevzeta v obdobju med 1.1.2015 in dnevom, določenim za oddajo ponudb.</w:t>
      </w:r>
    </w:p>
    <w:p w:rsidR="008A796A" w:rsidRDefault="008A796A" w:rsidP="0017401B">
      <w:pPr>
        <w:keepNext/>
        <w:keepLines/>
        <w:tabs>
          <w:tab w:val="left" w:pos="8505"/>
        </w:tabs>
        <w:spacing w:after="120"/>
        <w:jc w:val="both"/>
        <w:rPr>
          <w:rFonts w:ascii="Tahoma" w:hAnsi="Tahoma" w:cs="Tahoma"/>
          <w:color w:val="00B050"/>
          <w:sz w:val="20"/>
        </w:rPr>
      </w:pPr>
    </w:p>
    <w:p w:rsidR="001E3612" w:rsidRDefault="001E3612" w:rsidP="0090656C">
      <w:pPr>
        <w:keepNext/>
        <w:keepLines/>
        <w:jc w:val="both"/>
        <w:rPr>
          <w:rFonts w:ascii="Tahoma" w:hAnsi="Tahoma" w:cs="Tahoma"/>
          <w:bCs/>
          <w:sz w:val="20"/>
        </w:rPr>
      </w:pPr>
      <w:r>
        <w:rPr>
          <w:rFonts w:ascii="Tahoma" w:hAnsi="Tahoma" w:cs="Tahoma"/>
          <w:bCs/>
          <w:sz w:val="20"/>
        </w:rPr>
        <w:lastRenderedPageBreak/>
        <w:t>Ponudniki morajo pri prip</w:t>
      </w:r>
      <w:r w:rsidR="00FA7A34">
        <w:rPr>
          <w:rFonts w:ascii="Tahoma" w:hAnsi="Tahoma" w:cs="Tahoma"/>
          <w:bCs/>
          <w:sz w:val="20"/>
        </w:rPr>
        <w:t xml:space="preserve">ravi ponudbe upoštevati </w:t>
      </w:r>
      <w:r w:rsidR="005F0077">
        <w:rPr>
          <w:rFonts w:ascii="Tahoma" w:hAnsi="Tahoma" w:cs="Tahoma"/>
          <w:bCs/>
          <w:sz w:val="20"/>
        </w:rPr>
        <w:t>odgovor</w:t>
      </w:r>
      <w:r w:rsidR="0017401B">
        <w:rPr>
          <w:rFonts w:ascii="Tahoma" w:hAnsi="Tahoma" w:cs="Tahoma"/>
          <w:bCs/>
          <w:sz w:val="20"/>
        </w:rPr>
        <w:t>e na vprašanja in spremembo razpisne dokumentacije</w:t>
      </w:r>
      <w:r w:rsidR="007D1E0B">
        <w:rPr>
          <w:rFonts w:ascii="Tahoma" w:hAnsi="Tahoma" w:cs="Tahoma"/>
          <w:bCs/>
          <w:sz w:val="20"/>
        </w:rPr>
        <w:t xml:space="preserve"> </w:t>
      </w:r>
      <w:r>
        <w:rPr>
          <w:rFonts w:ascii="Tahoma" w:hAnsi="Tahoma" w:cs="Tahoma"/>
          <w:bCs/>
          <w:sz w:val="20"/>
        </w:rPr>
        <w:t xml:space="preserve">z </w:t>
      </w:r>
      <w:r w:rsidRPr="009D10CB">
        <w:rPr>
          <w:rFonts w:ascii="Tahoma" w:hAnsi="Tahoma" w:cs="Tahoma"/>
          <w:bCs/>
          <w:sz w:val="20"/>
        </w:rPr>
        <w:t xml:space="preserve">dne </w:t>
      </w:r>
      <w:r w:rsidR="0017401B">
        <w:rPr>
          <w:rFonts w:ascii="Tahoma" w:hAnsi="Tahoma" w:cs="Tahoma"/>
          <w:bCs/>
          <w:sz w:val="20"/>
        </w:rPr>
        <w:t>10</w:t>
      </w:r>
      <w:r w:rsidR="005F0077">
        <w:rPr>
          <w:rFonts w:ascii="Tahoma" w:hAnsi="Tahoma" w:cs="Tahoma"/>
          <w:bCs/>
          <w:sz w:val="20"/>
        </w:rPr>
        <w:t>. 7</w:t>
      </w:r>
      <w:r w:rsidR="00482216">
        <w:rPr>
          <w:rFonts w:ascii="Tahoma" w:hAnsi="Tahoma" w:cs="Tahoma"/>
          <w:bCs/>
          <w:sz w:val="20"/>
        </w:rPr>
        <w:t>.</w:t>
      </w:r>
      <w:r w:rsidR="005F0077">
        <w:rPr>
          <w:rFonts w:ascii="Tahoma" w:hAnsi="Tahoma" w:cs="Tahoma"/>
          <w:bCs/>
          <w:sz w:val="20"/>
        </w:rPr>
        <w:t xml:space="preserve"> 2020</w:t>
      </w:r>
      <w:r w:rsidRPr="009D10CB">
        <w:rPr>
          <w:rFonts w:ascii="Tahoma" w:hAnsi="Tahoma" w:cs="Tahoma"/>
          <w:bCs/>
          <w:sz w:val="20"/>
        </w:rPr>
        <w:t>,</w:t>
      </w:r>
      <w:r w:rsidR="0017401B">
        <w:rPr>
          <w:rFonts w:ascii="Tahoma" w:hAnsi="Tahoma" w:cs="Tahoma"/>
          <w:bCs/>
          <w:sz w:val="20"/>
        </w:rPr>
        <w:t xml:space="preserve"> ki so</w:t>
      </w:r>
      <w:r w:rsidR="00FA7A34">
        <w:rPr>
          <w:rFonts w:ascii="Tahoma" w:hAnsi="Tahoma" w:cs="Tahoma"/>
          <w:bCs/>
          <w:sz w:val="20"/>
        </w:rPr>
        <w:t xml:space="preserve"> bil</w:t>
      </w:r>
      <w:r w:rsidR="0017401B">
        <w:rPr>
          <w:rFonts w:ascii="Tahoma" w:hAnsi="Tahoma" w:cs="Tahoma"/>
          <w:bCs/>
          <w:sz w:val="20"/>
        </w:rPr>
        <w:t>i</w:t>
      </w:r>
      <w:r w:rsidR="00FA7A34">
        <w:rPr>
          <w:rFonts w:ascii="Tahoma" w:hAnsi="Tahoma" w:cs="Tahoma"/>
          <w:bCs/>
          <w:sz w:val="20"/>
        </w:rPr>
        <w:t xml:space="preserve"> objavljen</w:t>
      </w:r>
      <w:r w:rsidR="0017401B">
        <w:rPr>
          <w:rFonts w:ascii="Tahoma" w:hAnsi="Tahoma" w:cs="Tahoma"/>
          <w:bCs/>
          <w:sz w:val="20"/>
        </w:rPr>
        <w:t>i</w:t>
      </w:r>
      <w:r>
        <w:rPr>
          <w:rFonts w:ascii="Tahoma" w:hAnsi="Tahoma" w:cs="Tahoma"/>
          <w:bCs/>
          <w:sz w:val="20"/>
        </w:rPr>
        <w:t xml:space="preserve"> na spletni strani naročnika in na Portalu javnih naročil. </w:t>
      </w:r>
    </w:p>
    <w:p w:rsidR="00987755" w:rsidRDefault="00987755" w:rsidP="0090656C">
      <w:pPr>
        <w:keepNext/>
        <w:keepLines/>
        <w:rPr>
          <w:rFonts w:ascii="Tahoma" w:hAnsi="Tahoma" w:cs="Tahoma"/>
          <w:bCs/>
          <w:sz w:val="20"/>
        </w:rPr>
      </w:pPr>
    </w:p>
    <w:p w:rsidR="00856BAF" w:rsidRDefault="00856BAF" w:rsidP="0090656C">
      <w:pPr>
        <w:keepNext/>
        <w:keepLines/>
        <w:rPr>
          <w:rFonts w:ascii="Tahoma" w:hAnsi="Tahoma" w:cs="Tahoma"/>
          <w:bCs/>
          <w:sz w:val="20"/>
        </w:rPr>
      </w:pPr>
    </w:p>
    <w:p w:rsidR="00D02474" w:rsidRDefault="00B8409C" w:rsidP="0090656C">
      <w:pPr>
        <w:keepNext/>
        <w:keepLines/>
        <w:rPr>
          <w:rFonts w:ascii="Tahoma" w:hAnsi="Tahoma" w:cs="Tahoma"/>
          <w:bCs/>
          <w:sz w:val="20"/>
        </w:rPr>
      </w:pPr>
      <w:r w:rsidRPr="009F4FFF">
        <w:rPr>
          <w:rFonts w:ascii="Tahoma" w:hAnsi="Tahoma" w:cs="Tahoma"/>
          <w:bCs/>
          <w:sz w:val="20"/>
        </w:rPr>
        <w:t>Lepo pozdravljeni!</w:t>
      </w:r>
    </w:p>
    <w:p w:rsidR="001C7004" w:rsidRPr="009F4FFF" w:rsidRDefault="00B8409C" w:rsidP="0090656C">
      <w:pPr>
        <w:keepNext/>
        <w:keepLines/>
        <w:rPr>
          <w:rFonts w:ascii="Tahoma" w:hAnsi="Tahoma" w:cs="Tahoma"/>
          <w:sz w:val="20"/>
        </w:rPr>
      </w:pPr>
      <w:r w:rsidRPr="009F4FFF">
        <w:rPr>
          <w:rFonts w:ascii="Tahoma" w:hAnsi="Tahoma" w:cs="Tahoma"/>
          <w:sz w:val="20"/>
        </w:rPr>
        <w:tab/>
      </w:r>
    </w:p>
    <w:p w:rsidR="00B8409C" w:rsidRPr="009F4FFF" w:rsidRDefault="00B8409C" w:rsidP="0090656C">
      <w:pPr>
        <w:keepNext/>
        <w:keepLines/>
        <w:ind w:left="5387"/>
        <w:rPr>
          <w:rFonts w:ascii="Tahoma" w:hAnsi="Tahoma" w:cs="Tahoma"/>
          <w:sz w:val="20"/>
        </w:rPr>
      </w:pPr>
      <w:r w:rsidRPr="009F4FFF">
        <w:rPr>
          <w:rFonts w:ascii="Tahoma" w:hAnsi="Tahoma" w:cs="Tahoma"/>
          <w:sz w:val="20"/>
        </w:rPr>
        <w:t>JAVNI HOLDING Ljubljana, d.o.o.</w:t>
      </w:r>
    </w:p>
    <w:p w:rsidR="007D6B63" w:rsidRDefault="00B8409C" w:rsidP="0090656C">
      <w:pPr>
        <w:keepNext/>
        <w:keepLines/>
        <w:ind w:left="5387"/>
        <w:rPr>
          <w:rFonts w:ascii="Tahoma" w:hAnsi="Tahoma" w:cs="Tahoma"/>
          <w:sz w:val="20"/>
        </w:rPr>
      </w:pPr>
      <w:r w:rsidRPr="009F4FFF">
        <w:rPr>
          <w:rFonts w:ascii="Tahoma" w:hAnsi="Tahoma" w:cs="Tahoma"/>
          <w:sz w:val="20"/>
        </w:rPr>
        <w:t>Sektor za javna naročila</w:t>
      </w:r>
    </w:p>
    <w:p w:rsidR="00783049" w:rsidRDefault="00783049" w:rsidP="0090656C">
      <w:pPr>
        <w:keepNext/>
        <w:keepLines/>
        <w:ind w:left="5387"/>
        <w:rPr>
          <w:rFonts w:ascii="Tahoma" w:hAnsi="Tahoma" w:cs="Tahoma"/>
          <w:sz w:val="20"/>
        </w:rPr>
      </w:pPr>
      <w:bookmarkStart w:id="0" w:name="_GoBack"/>
      <w:bookmarkEnd w:id="0"/>
    </w:p>
    <w:sectPr w:rsidR="00783049"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EA4" w:rsidRDefault="00E10EA4">
      <w:r>
        <w:separator/>
      </w:r>
    </w:p>
  </w:endnote>
  <w:endnote w:type="continuationSeparator" w:id="0">
    <w:p w:rsidR="00E10EA4" w:rsidRDefault="00E1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Noga"/>
      <w:jc w:val="right"/>
    </w:pPr>
  </w:p>
  <w:p w:rsidR="00E10EA4" w:rsidRDefault="00E10EA4"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E10EA4" w:rsidRDefault="00E10EA4"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665E8">
      <w:rPr>
        <w:noProof/>
        <w:sz w:val="16"/>
        <w:szCs w:val="16"/>
      </w:rPr>
      <w:t>3</w:t>
    </w:r>
    <w:r w:rsidRPr="00394716">
      <w:rPr>
        <w:sz w:val="16"/>
        <w:szCs w:val="16"/>
      </w:rPr>
      <w:fldChar w:fldCharType="end"/>
    </w:r>
  </w:p>
  <w:p w:rsidR="00E10EA4" w:rsidRDefault="00E10EA4" w:rsidP="00B366C6">
    <w:pPr>
      <w:pStyle w:val="Noga"/>
      <w:jc w:val="center"/>
      <w:rPr>
        <w:sz w:val="16"/>
        <w:szCs w:val="16"/>
      </w:rPr>
    </w:pPr>
  </w:p>
  <w:p w:rsidR="00E10EA4" w:rsidRDefault="00E10EA4" w:rsidP="00B366C6">
    <w:pPr>
      <w:pStyle w:val="Noga"/>
      <w:jc w:val="center"/>
      <w:rPr>
        <w:sz w:val="16"/>
        <w:szCs w:val="16"/>
      </w:rPr>
    </w:pPr>
  </w:p>
  <w:p w:rsidR="00E10EA4" w:rsidRPr="00394716" w:rsidRDefault="00E10EA4"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Pr="004D3E89" w:rsidRDefault="00E10EA4"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6769A37D" wp14:editId="5AB1ED7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EA4" w:rsidRDefault="00E10EA4">
      <w:r>
        <w:separator/>
      </w:r>
    </w:p>
  </w:footnote>
  <w:footnote w:type="continuationSeparator" w:id="0">
    <w:p w:rsidR="00E10EA4" w:rsidRDefault="00E1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Glava"/>
      <w:tabs>
        <w:tab w:val="clear" w:pos="4536"/>
        <w:tab w:val="center" w:pos="7655"/>
      </w:tabs>
      <w:ind w:right="-1133"/>
    </w:pPr>
    <w:r>
      <w:tab/>
    </w:r>
    <w:r>
      <w:rPr>
        <w:noProof/>
      </w:rPr>
      <w:drawing>
        <wp:inline distT="0" distB="0" distL="0" distR="0" wp14:anchorId="0FCEDE67" wp14:editId="0E36CD2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8"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FC95BE0"/>
    <w:multiLevelType w:val="hybridMultilevel"/>
    <w:tmpl w:val="506CBF0A"/>
    <w:lvl w:ilvl="0" w:tplc="AD42635C">
      <w:numFmt w:val="bullet"/>
      <w:lvlText w:val="-"/>
      <w:lvlJc w:val="left"/>
      <w:pPr>
        <w:ind w:left="218" w:hanging="360"/>
      </w:pPr>
      <w:rPr>
        <w:rFonts w:ascii="Tahoma" w:eastAsia="Times New Roman" w:hAnsi="Tahoma" w:cs="Tahoma"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10"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3"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6"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19"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7"/>
  </w:num>
  <w:num w:numId="4">
    <w:abstractNumId w:val="12"/>
  </w:num>
  <w:num w:numId="5">
    <w:abstractNumId w:val="10"/>
  </w:num>
  <w:num w:numId="6">
    <w:abstractNumId w:val="1"/>
  </w:num>
  <w:num w:numId="7">
    <w:abstractNumId w:val="6"/>
  </w:num>
  <w:num w:numId="8">
    <w:abstractNumId w:val="13"/>
  </w:num>
  <w:num w:numId="9">
    <w:abstractNumId w:val="3"/>
  </w:num>
  <w:num w:numId="10">
    <w:abstractNumId w:val="4"/>
  </w:num>
  <w:num w:numId="11">
    <w:abstractNumId w:val="2"/>
  </w:num>
  <w:num w:numId="12">
    <w:abstractNumId w:val="14"/>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5"/>
  </w:num>
  <w:num w:numId="15">
    <w:abstractNumId w:val="7"/>
  </w:num>
  <w:num w:numId="16">
    <w:abstractNumId w:val="16"/>
  </w:num>
  <w:num w:numId="17">
    <w:abstractNumId w:val="5"/>
  </w:num>
  <w:num w:numId="18">
    <w:abstractNumId w:val="12"/>
  </w:num>
  <w:num w:numId="19">
    <w:abstractNumId w:val="8"/>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23D89"/>
    <w:rsid w:val="000254CC"/>
    <w:rsid w:val="00027D96"/>
    <w:rsid w:val="00037454"/>
    <w:rsid w:val="00041B42"/>
    <w:rsid w:val="000517FE"/>
    <w:rsid w:val="00075208"/>
    <w:rsid w:val="000930B2"/>
    <w:rsid w:val="000A0899"/>
    <w:rsid w:val="000B5827"/>
    <w:rsid w:val="000B6B43"/>
    <w:rsid w:val="000D4BCF"/>
    <w:rsid w:val="000E7AFC"/>
    <w:rsid w:val="00102EFB"/>
    <w:rsid w:val="0010611D"/>
    <w:rsid w:val="00110C57"/>
    <w:rsid w:val="00130EEE"/>
    <w:rsid w:val="001376D1"/>
    <w:rsid w:val="00141500"/>
    <w:rsid w:val="00146B70"/>
    <w:rsid w:val="0017401B"/>
    <w:rsid w:val="00175FEC"/>
    <w:rsid w:val="001870F9"/>
    <w:rsid w:val="001A043C"/>
    <w:rsid w:val="001B0232"/>
    <w:rsid w:val="001B0253"/>
    <w:rsid w:val="001B482F"/>
    <w:rsid w:val="001C238D"/>
    <w:rsid w:val="001C7004"/>
    <w:rsid w:val="001D4454"/>
    <w:rsid w:val="001E0C98"/>
    <w:rsid w:val="001E278D"/>
    <w:rsid w:val="001E3612"/>
    <w:rsid w:val="001E3A81"/>
    <w:rsid w:val="001E5AE6"/>
    <w:rsid w:val="00224FE4"/>
    <w:rsid w:val="00242234"/>
    <w:rsid w:val="0026294B"/>
    <w:rsid w:val="00284842"/>
    <w:rsid w:val="00285099"/>
    <w:rsid w:val="00291CD6"/>
    <w:rsid w:val="00292109"/>
    <w:rsid w:val="002B79EA"/>
    <w:rsid w:val="002C255A"/>
    <w:rsid w:val="002C5152"/>
    <w:rsid w:val="002D4294"/>
    <w:rsid w:val="002F08A1"/>
    <w:rsid w:val="002F2ED9"/>
    <w:rsid w:val="00354D59"/>
    <w:rsid w:val="00366A57"/>
    <w:rsid w:val="00366F2D"/>
    <w:rsid w:val="003731D5"/>
    <w:rsid w:val="00387F4F"/>
    <w:rsid w:val="0039059B"/>
    <w:rsid w:val="00391DD6"/>
    <w:rsid w:val="00396E64"/>
    <w:rsid w:val="003B0717"/>
    <w:rsid w:val="003B151C"/>
    <w:rsid w:val="003C1FCF"/>
    <w:rsid w:val="003C5474"/>
    <w:rsid w:val="003C747C"/>
    <w:rsid w:val="003D4BEB"/>
    <w:rsid w:val="003F535B"/>
    <w:rsid w:val="003F60D5"/>
    <w:rsid w:val="003F65D3"/>
    <w:rsid w:val="00407136"/>
    <w:rsid w:val="00423E45"/>
    <w:rsid w:val="004310C6"/>
    <w:rsid w:val="00433EAA"/>
    <w:rsid w:val="00437DBA"/>
    <w:rsid w:val="0044086B"/>
    <w:rsid w:val="00450DB9"/>
    <w:rsid w:val="00451A99"/>
    <w:rsid w:val="0045541F"/>
    <w:rsid w:val="0047542C"/>
    <w:rsid w:val="00482216"/>
    <w:rsid w:val="004A38F0"/>
    <w:rsid w:val="004B0BE1"/>
    <w:rsid w:val="004B78F7"/>
    <w:rsid w:val="004D3E89"/>
    <w:rsid w:val="004D64A2"/>
    <w:rsid w:val="00527CAB"/>
    <w:rsid w:val="0053291B"/>
    <w:rsid w:val="00540009"/>
    <w:rsid w:val="0057721D"/>
    <w:rsid w:val="00583FEE"/>
    <w:rsid w:val="00597FE2"/>
    <w:rsid w:val="005C2DB5"/>
    <w:rsid w:val="005C2DB7"/>
    <w:rsid w:val="005D2112"/>
    <w:rsid w:val="005E7331"/>
    <w:rsid w:val="005F0077"/>
    <w:rsid w:val="00600300"/>
    <w:rsid w:val="0062320B"/>
    <w:rsid w:val="00624A8F"/>
    <w:rsid w:val="00656773"/>
    <w:rsid w:val="006610A5"/>
    <w:rsid w:val="00665CA5"/>
    <w:rsid w:val="006862BE"/>
    <w:rsid w:val="0069374F"/>
    <w:rsid w:val="006B024F"/>
    <w:rsid w:val="006B1CF9"/>
    <w:rsid w:val="006B3868"/>
    <w:rsid w:val="006E0CA1"/>
    <w:rsid w:val="006E45F0"/>
    <w:rsid w:val="006F22BA"/>
    <w:rsid w:val="006F3058"/>
    <w:rsid w:val="00703E6D"/>
    <w:rsid w:val="00711458"/>
    <w:rsid w:val="007159B1"/>
    <w:rsid w:val="00730049"/>
    <w:rsid w:val="00762732"/>
    <w:rsid w:val="00763D0C"/>
    <w:rsid w:val="00764CDA"/>
    <w:rsid w:val="007661F5"/>
    <w:rsid w:val="00766924"/>
    <w:rsid w:val="0077022A"/>
    <w:rsid w:val="00783049"/>
    <w:rsid w:val="007A258F"/>
    <w:rsid w:val="007B175D"/>
    <w:rsid w:val="007C3B30"/>
    <w:rsid w:val="007C494E"/>
    <w:rsid w:val="007D1E0B"/>
    <w:rsid w:val="007D6B63"/>
    <w:rsid w:val="007E1A3B"/>
    <w:rsid w:val="007F0CFD"/>
    <w:rsid w:val="007F402F"/>
    <w:rsid w:val="00800D88"/>
    <w:rsid w:val="008105EE"/>
    <w:rsid w:val="00821F95"/>
    <w:rsid w:val="0084746F"/>
    <w:rsid w:val="00856BAF"/>
    <w:rsid w:val="00856BF6"/>
    <w:rsid w:val="00866368"/>
    <w:rsid w:val="00882B70"/>
    <w:rsid w:val="008878C9"/>
    <w:rsid w:val="008901E9"/>
    <w:rsid w:val="008940DF"/>
    <w:rsid w:val="0089450C"/>
    <w:rsid w:val="00894B8A"/>
    <w:rsid w:val="008A3969"/>
    <w:rsid w:val="008A5AF3"/>
    <w:rsid w:val="008A6582"/>
    <w:rsid w:val="008A71CD"/>
    <w:rsid w:val="008A73AE"/>
    <w:rsid w:val="008A796A"/>
    <w:rsid w:val="008A7B4B"/>
    <w:rsid w:val="008A7E85"/>
    <w:rsid w:val="008B4F59"/>
    <w:rsid w:val="008B5186"/>
    <w:rsid w:val="008C5175"/>
    <w:rsid w:val="008C6040"/>
    <w:rsid w:val="008C7107"/>
    <w:rsid w:val="008E5557"/>
    <w:rsid w:val="0090455C"/>
    <w:rsid w:val="0090656C"/>
    <w:rsid w:val="0092040B"/>
    <w:rsid w:val="00927AAE"/>
    <w:rsid w:val="00931EA9"/>
    <w:rsid w:val="009328DB"/>
    <w:rsid w:val="009334BD"/>
    <w:rsid w:val="009432A3"/>
    <w:rsid w:val="0094583D"/>
    <w:rsid w:val="00962839"/>
    <w:rsid w:val="00981B37"/>
    <w:rsid w:val="0098200D"/>
    <w:rsid w:val="009843AA"/>
    <w:rsid w:val="00987755"/>
    <w:rsid w:val="00991DF6"/>
    <w:rsid w:val="00993435"/>
    <w:rsid w:val="00993C58"/>
    <w:rsid w:val="00994C9B"/>
    <w:rsid w:val="009A3E80"/>
    <w:rsid w:val="009B3BE0"/>
    <w:rsid w:val="009B7791"/>
    <w:rsid w:val="009C7F28"/>
    <w:rsid w:val="009D10CB"/>
    <w:rsid w:val="009D2BDE"/>
    <w:rsid w:val="009F166F"/>
    <w:rsid w:val="009F4FFF"/>
    <w:rsid w:val="00A103A9"/>
    <w:rsid w:val="00A14412"/>
    <w:rsid w:val="00A14B1A"/>
    <w:rsid w:val="00A14DA1"/>
    <w:rsid w:val="00A36239"/>
    <w:rsid w:val="00A43E01"/>
    <w:rsid w:val="00A60869"/>
    <w:rsid w:val="00A65139"/>
    <w:rsid w:val="00A66477"/>
    <w:rsid w:val="00A67690"/>
    <w:rsid w:val="00A73BAE"/>
    <w:rsid w:val="00A80AA7"/>
    <w:rsid w:val="00A905ED"/>
    <w:rsid w:val="00AB4DCC"/>
    <w:rsid w:val="00AC326A"/>
    <w:rsid w:val="00B24134"/>
    <w:rsid w:val="00B366C6"/>
    <w:rsid w:val="00B376D0"/>
    <w:rsid w:val="00B6617C"/>
    <w:rsid w:val="00B66D3B"/>
    <w:rsid w:val="00B70739"/>
    <w:rsid w:val="00B810C1"/>
    <w:rsid w:val="00B81112"/>
    <w:rsid w:val="00B8409C"/>
    <w:rsid w:val="00B941B6"/>
    <w:rsid w:val="00B95E5E"/>
    <w:rsid w:val="00BC4B0F"/>
    <w:rsid w:val="00BD476F"/>
    <w:rsid w:val="00BD71B1"/>
    <w:rsid w:val="00BE4EA5"/>
    <w:rsid w:val="00C02F06"/>
    <w:rsid w:val="00C06DFC"/>
    <w:rsid w:val="00C149B1"/>
    <w:rsid w:val="00C2057A"/>
    <w:rsid w:val="00C2152A"/>
    <w:rsid w:val="00C23200"/>
    <w:rsid w:val="00C31762"/>
    <w:rsid w:val="00C5370C"/>
    <w:rsid w:val="00C6393E"/>
    <w:rsid w:val="00C73A78"/>
    <w:rsid w:val="00CA4F0B"/>
    <w:rsid w:val="00CB065C"/>
    <w:rsid w:val="00CB702E"/>
    <w:rsid w:val="00CB77D3"/>
    <w:rsid w:val="00CE4D71"/>
    <w:rsid w:val="00CF4117"/>
    <w:rsid w:val="00D02474"/>
    <w:rsid w:val="00D03AF4"/>
    <w:rsid w:val="00D22D80"/>
    <w:rsid w:val="00D310AC"/>
    <w:rsid w:val="00D37B43"/>
    <w:rsid w:val="00D41734"/>
    <w:rsid w:val="00D558BF"/>
    <w:rsid w:val="00D5592D"/>
    <w:rsid w:val="00D57FE9"/>
    <w:rsid w:val="00D62091"/>
    <w:rsid w:val="00D677F7"/>
    <w:rsid w:val="00D73DEA"/>
    <w:rsid w:val="00D875E4"/>
    <w:rsid w:val="00D92BC3"/>
    <w:rsid w:val="00D970C6"/>
    <w:rsid w:val="00D97511"/>
    <w:rsid w:val="00DA558B"/>
    <w:rsid w:val="00DE36A9"/>
    <w:rsid w:val="00DE46B3"/>
    <w:rsid w:val="00DE6D23"/>
    <w:rsid w:val="00DF0E9F"/>
    <w:rsid w:val="00DF3406"/>
    <w:rsid w:val="00E10EA4"/>
    <w:rsid w:val="00E14BFA"/>
    <w:rsid w:val="00E23F10"/>
    <w:rsid w:val="00E24D79"/>
    <w:rsid w:val="00E32E39"/>
    <w:rsid w:val="00E47609"/>
    <w:rsid w:val="00E4765E"/>
    <w:rsid w:val="00E53473"/>
    <w:rsid w:val="00E5591D"/>
    <w:rsid w:val="00E60036"/>
    <w:rsid w:val="00E64E12"/>
    <w:rsid w:val="00E665E8"/>
    <w:rsid w:val="00E66AA0"/>
    <w:rsid w:val="00E762FD"/>
    <w:rsid w:val="00E91E08"/>
    <w:rsid w:val="00EB1130"/>
    <w:rsid w:val="00ED2035"/>
    <w:rsid w:val="00EE78E3"/>
    <w:rsid w:val="00F14403"/>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ACDE55A"/>
  <w15:docId w15:val="{8C720AF8-44C5-44EC-99AF-1C737A6C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2948402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661430">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3927844">
      <w:bodyDiv w:val="1"/>
      <w:marLeft w:val="0"/>
      <w:marRight w:val="0"/>
      <w:marTop w:val="0"/>
      <w:marBottom w:val="0"/>
      <w:divBdr>
        <w:top w:val="none" w:sz="0" w:space="0" w:color="auto"/>
        <w:left w:val="none" w:sz="0" w:space="0" w:color="auto"/>
        <w:bottom w:val="none" w:sz="0" w:space="0" w:color="auto"/>
        <w:right w:val="none" w:sz="0" w:space="0" w:color="auto"/>
      </w:divBdr>
      <w:divsChild>
        <w:div w:id="1760642261">
          <w:marLeft w:val="0"/>
          <w:marRight w:val="0"/>
          <w:marTop w:val="0"/>
          <w:marBottom w:val="0"/>
          <w:divBdr>
            <w:top w:val="none" w:sz="0" w:space="0" w:color="auto"/>
            <w:left w:val="none" w:sz="0" w:space="0" w:color="auto"/>
            <w:bottom w:val="none" w:sz="0" w:space="0" w:color="auto"/>
            <w:right w:val="none" w:sz="0" w:space="0" w:color="auto"/>
          </w:divBdr>
          <w:divsChild>
            <w:div w:id="1906793878">
              <w:marLeft w:val="-225"/>
              <w:marRight w:val="-225"/>
              <w:marTop w:val="0"/>
              <w:marBottom w:val="0"/>
              <w:divBdr>
                <w:top w:val="none" w:sz="0" w:space="0" w:color="auto"/>
                <w:left w:val="none" w:sz="0" w:space="0" w:color="auto"/>
                <w:bottom w:val="none" w:sz="0" w:space="0" w:color="auto"/>
                <w:right w:val="none" w:sz="0" w:space="0" w:color="auto"/>
              </w:divBdr>
              <w:divsChild>
                <w:div w:id="2070227327">
                  <w:marLeft w:val="0"/>
                  <w:marRight w:val="0"/>
                  <w:marTop w:val="0"/>
                  <w:marBottom w:val="0"/>
                  <w:divBdr>
                    <w:top w:val="none" w:sz="0" w:space="0" w:color="auto"/>
                    <w:left w:val="none" w:sz="0" w:space="0" w:color="auto"/>
                    <w:bottom w:val="none" w:sz="0" w:space="0" w:color="auto"/>
                    <w:right w:val="none" w:sz="0" w:space="0" w:color="auto"/>
                  </w:divBdr>
                  <w:divsChild>
                    <w:div w:id="425620158">
                      <w:marLeft w:val="0"/>
                      <w:marRight w:val="0"/>
                      <w:marTop w:val="0"/>
                      <w:marBottom w:val="255"/>
                      <w:divBdr>
                        <w:top w:val="none" w:sz="0" w:space="0" w:color="auto"/>
                        <w:left w:val="none" w:sz="0" w:space="0" w:color="auto"/>
                        <w:bottom w:val="none" w:sz="0" w:space="0" w:color="auto"/>
                        <w:right w:val="none" w:sz="0" w:space="0" w:color="auto"/>
                      </w:divBdr>
                      <w:divsChild>
                        <w:div w:id="1465007676">
                          <w:marLeft w:val="0"/>
                          <w:marRight w:val="0"/>
                          <w:marTop w:val="0"/>
                          <w:marBottom w:val="0"/>
                          <w:divBdr>
                            <w:top w:val="none" w:sz="0" w:space="0" w:color="auto"/>
                            <w:left w:val="none" w:sz="0" w:space="0" w:color="auto"/>
                            <w:bottom w:val="none" w:sz="0" w:space="0" w:color="auto"/>
                            <w:right w:val="none" w:sz="0" w:space="0" w:color="auto"/>
                          </w:divBdr>
                          <w:divsChild>
                            <w:div w:id="745494661">
                              <w:marLeft w:val="-195"/>
                              <w:marRight w:val="0"/>
                              <w:marTop w:val="0"/>
                              <w:marBottom w:val="0"/>
                              <w:divBdr>
                                <w:top w:val="none" w:sz="0" w:space="0" w:color="auto"/>
                                <w:left w:val="none" w:sz="0" w:space="0" w:color="auto"/>
                                <w:bottom w:val="none" w:sz="0" w:space="0" w:color="auto"/>
                                <w:right w:val="none" w:sz="0" w:space="0" w:color="auto"/>
                              </w:divBdr>
                              <w:divsChild>
                                <w:div w:id="627664357">
                                  <w:marLeft w:val="0"/>
                                  <w:marRight w:val="0"/>
                                  <w:marTop w:val="150"/>
                                  <w:marBottom w:val="150"/>
                                  <w:divBdr>
                                    <w:top w:val="none" w:sz="0" w:space="0" w:color="auto"/>
                                    <w:left w:val="none" w:sz="0" w:space="0" w:color="auto"/>
                                    <w:bottom w:val="none" w:sz="0" w:space="0" w:color="auto"/>
                                    <w:right w:val="none" w:sz="0" w:space="0" w:color="auto"/>
                                  </w:divBdr>
                                </w:div>
                              </w:divsChild>
                            </w:div>
                            <w:div w:id="1729299860">
                              <w:marLeft w:val="-195"/>
                              <w:marRight w:val="0"/>
                              <w:marTop w:val="0"/>
                              <w:marBottom w:val="0"/>
                              <w:divBdr>
                                <w:top w:val="none" w:sz="0" w:space="0" w:color="auto"/>
                                <w:left w:val="none" w:sz="0" w:space="0" w:color="auto"/>
                                <w:bottom w:val="none" w:sz="0" w:space="0" w:color="auto"/>
                                <w:right w:val="none" w:sz="0" w:space="0" w:color="auto"/>
                              </w:divBdr>
                              <w:divsChild>
                                <w:div w:id="387072397">
                                  <w:marLeft w:val="0"/>
                                  <w:marRight w:val="0"/>
                                  <w:marTop w:val="150"/>
                                  <w:marBottom w:val="150"/>
                                  <w:divBdr>
                                    <w:top w:val="none" w:sz="0" w:space="0" w:color="auto"/>
                                    <w:left w:val="none" w:sz="0" w:space="0" w:color="auto"/>
                                    <w:bottom w:val="none" w:sz="0" w:space="0" w:color="auto"/>
                                    <w:right w:val="none" w:sz="0" w:space="0" w:color="auto"/>
                                  </w:divBdr>
                                </w:div>
                              </w:divsChild>
                            </w:div>
                            <w:div w:id="2099984840">
                              <w:marLeft w:val="-195"/>
                              <w:marRight w:val="0"/>
                              <w:marTop w:val="0"/>
                              <w:marBottom w:val="0"/>
                              <w:divBdr>
                                <w:top w:val="none" w:sz="0" w:space="0" w:color="auto"/>
                                <w:left w:val="none" w:sz="0" w:space="0" w:color="auto"/>
                                <w:bottom w:val="none" w:sz="0" w:space="0" w:color="auto"/>
                                <w:right w:val="none" w:sz="0" w:space="0" w:color="auto"/>
                              </w:divBdr>
                              <w:divsChild>
                                <w:div w:id="20552283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428668">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51712535">
      <w:bodyDiv w:val="1"/>
      <w:marLeft w:val="0"/>
      <w:marRight w:val="0"/>
      <w:marTop w:val="0"/>
      <w:marBottom w:val="0"/>
      <w:divBdr>
        <w:top w:val="none" w:sz="0" w:space="0" w:color="auto"/>
        <w:left w:val="none" w:sz="0" w:space="0" w:color="auto"/>
        <w:bottom w:val="none" w:sz="0" w:space="0" w:color="auto"/>
        <w:right w:val="none" w:sz="0" w:space="0" w:color="auto"/>
      </w:divBdr>
    </w:div>
    <w:div w:id="165341224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911647336">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E919D-8753-45A0-B128-6F0DBDB0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938</Words>
  <Characters>5347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3</cp:revision>
  <cp:lastPrinted>2018-12-10T05:59:00Z</cp:lastPrinted>
  <dcterms:created xsi:type="dcterms:W3CDTF">2020-07-10T11:46:00Z</dcterms:created>
  <dcterms:modified xsi:type="dcterms:W3CDTF">2020-07-10T12:23:00Z</dcterms:modified>
</cp:coreProperties>
</file>