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86" w:rsidRPr="00AB56F7" w:rsidRDefault="00131786" w:rsidP="001319AE">
      <w:pPr>
        <w:pStyle w:val="Default"/>
        <w:jc w:val="both"/>
        <w:rPr>
          <w:b/>
          <w:bCs/>
          <w:sz w:val="22"/>
          <w:szCs w:val="22"/>
        </w:rPr>
      </w:pPr>
    </w:p>
    <w:p w:rsidR="00B71660" w:rsidRPr="00B71660" w:rsidRDefault="00B71660" w:rsidP="001319AE">
      <w:pPr>
        <w:numPr>
          <w:ilvl w:val="2"/>
          <w:numId w:val="0"/>
        </w:numPr>
        <w:tabs>
          <w:tab w:val="num" w:pos="561"/>
        </w:tabs>
        <w:jc w:val="both"/>
        <w:outlineLvl w:val="0"/>
        <w:rPr>
          <w:rFonts w:ascii="Tahoma" w:eastAsia="Times New Roman" w:hAnsi="Tahoma" w:cs="Tahoma"/>
          <w:b/>
          <w:bCs/>
          <w:i/>
          <w:iCs/>
          <w:color w:val="0000CC"/>
          <w:u w:val="single"/>
        </w:rPr>
      </w:pPr>
      <w:r w:rsidRPr="00B71660">
        <w:rPr>
          <w:rFonts w:ascii="Tahoma" w:eastAsia="Times New Roman" w:hAnsi="Tahoma" w:cs="Tahoma"/>
          <w:b/>
          <w:bCs/>
          <w:i/>
          <w:iCs/>
          <w:color w:val="0000CC"/>
          <w:u w:val="single"/>
        </w:rPr>
        <w:t>OBVESTILO ZA JAVNOST</w:t>
      </w:r>
    </w:p>
    <w:p w:rsidR="00B71660" w:rsidRPr="00B71660" w:rsidRDefault="00B71660" w:rsidP="001319AE">
      <w:pPr>
        <w:spacing w:line="264" w:lineRule="auto"/>
        <w:jc w:val="both"/>
        <w:rPr>
          <w:rFonts w:ascii="Tahoma" w:eastAsia="Times New Roman" w:hAnsi="Tahoma" w:cs="Tahoma"/>
          <w:b/>
          <w:sz w:val="23"/>
          <w:szCs w:val="23"/>
        </w:rPr>
      </w:pPr>
    </w:p>
    <w:p w:rsidR="00B71660" w:rsidRPr="00B71660" w:rsidRDefault="00B71660" w:rsidP="001319AE">
      <w:pPr>
        <w:autoSpaceDE w:val="0"/>
        <w:autoSpaceDN w:val="0"/>
        <w:adjustRightInd w:val="0"/>
        <w:jc w:val="both"/>
        <w:rPr>
          <w:rFonts w:ascii="Tahoma" w:eastAsia="Calibri" w:hAnsi="Tahoma" w:cs="Tahoma"/>
          <w:b/>
          <w:bCs/>
          <w:color w:val="000000"/>
        </w:rPr>
      </w:pPr>
    </w:p>
    <w:p w:rsidR="00B71660" w:rsidRPr="00B71660" w:rsidRDefault="00B71660" w:rsidP="001319AE">
      <w:pPr>
        <w:autoSpaceDE w:val="0"/>
        <w:autoSpaceDN w:val="0"/>
        <w:adjustRightInd w:val="0"/>
        <w:jc w:val="both"/>
        <w:rPr>
          <w:rFonts w:ascii="Tahoma" w:eastAsia="Calibri" w:hAnsi="Tahoma" w:cs="Tahoma"/>
          <w:b/>
          <w:bCs/>
          <w:color w:val="000000"/>
        </w:rPr>
      </w:pPr>
      <w:r w:rsidRPr="00B71660">
        <w:rPr>
          <w:rFonts w:ascii="Tahoma" w:eastAsia="Calibri" w:hAnsi="Tahoma" w:cs="Tahoma"/>
          <w:b/>
          <w:bCs/>
          <w:color w:val="000000"/>
        </w:rPr>
        <w:t>ZASEDALA SKUPŠČINA JAVNEGA HOLDINGA LJUBLJANA IN</w:t>
      </w:r>
      <w:r w:rsidR="000830D7">
        <w:rPr>
          <w:rFonts w:ascii="Tahoma" w:eastAsia="Calibri" w:hAnsi="Tahoma" w:cs="Tahoma"/>
          <w:b/>
          <w:bCs/>
          <w:color w:val="000000"/>
        </w:rPr>
        <w:t xml:space="preserve"> </w:t>
      </w:r>
      <w:r w:rsidRPr="00B71660">
        <w:rPr>
          <w:rFonts w:ascii="Tahoma" w:eastAsia="Calibri" w:hAnsi="Tahoma" w:cs="Tahoma"/>
          <w:b/>
          <w:bCs/>
          <w:color w:val="000000"/>
        </w:rPr>
        <w:t>SVET USTANOVITELJEV JAVNIH PODJETIJ</w:t>
      </w:r>
    </w:p>
    <w:p w:rsidR="00B71660" w:rsidRPr="00B71660" w:rsidRDefault="00B71660" w:rsidP="001319AE">
      <w:pPr>
        <w:autoSpaceDE w:val="0"/>
        <w:autoSpaceDN w:val="0"/>
        <w:adjustRightInd w:val="0"/>
        <w:jc w:val="both"/>
        <w:rPr>
          <w:rFonts w:ascii="Tahoma" w:eastAsia="Calibri" w:hAnsi="Tahoma" w:cs="Tahoma"/>
          <w:b/>
          <w:bCs/>
          <w:color w:val="000000"/>
        </w:rPr>
      </w:pPr>
    </w:p>
    <w:p w:rsidR="00275B6E" w:rsidRDefault="00B71660" w:rsidP="001319AE">
      <w:pPr>
        <w:autoSpaceDE w:val="0"/>
        <w:autoSpaceDN w:val="0"/>
        <w:adjustRightInd w:val="0"/>
        <w:jc w:val="both"/>
        <w:rPr>
          <w:rFonts w:ascii="Tahoma" w:hAnsi="Tahoma" w:cs="Tahoma"/>
          <w:b/>
          <w:bCs/>
        </w:rPr>
      </w:pPr>
      <w:r w:rsidRPr="00B71660">
        <w:rPr>
          <w:rFonts w:ascii="Tahoma" w:eastAsia="Calibri" w:hAnsi="Tahoma" w:cs="Tahoma"/>
          <w:b/>
          <w:bCs/>
          <w:color w:val="000000"/>
        </w:rPr>
        <w:t xml:space="preserve">Ljubljana, </w:t>
      </w:r>
      <w:r w:rsidR="00A554CE">
        <w:rPr>
          <w:rFonts w:ascii="Tahoma" w:eastAsia="Calibri" w:hAnsi="Tahoma" w:cs="Tahoma"/>
          <w:b/>
          <w:bCs/>
          <w:color w:val="000000"/>
        </w:rPr>
        <w:t>25. november 2015</w:t>
      </w:r>
      <w:r w:rsidRPr="00B71660">
        <w:rPr>
          <w:rFonts w:ascii="Tahoma" w:eastAsia="Calibri" w:hAnsi="Tahoma" w:cs="Tahoma"/>
          <w:b/>
          <w:bCs/>
          <w:color w:val="000000"/>
        </w:rPr>
        <w:t xml:space="preserve"> – </w:t>
      </w:r>
      <w:r w:rsidRPr="00275B6E">
        <w:rPr>
          <w:rFonts w:ascii="Tahoma" w:eastAsia="Calibri" w:hAnsi="Tahoma" w:cs="Tahoma"/>
          <w:b/>
          <w:bCs/>
          <w:color w:val="000000"/>
        </w:rPr>
        <w:t xml:space="preserve">Danes so se v Ljubljani sešli družbeniki Javnega holdinga Ljubljana, ki so </w:t>
      </w:r>
      <w:r w:rsidR="00454411" w:rsidRPr="00454411">
        <w:rPr>
          <w:rFonts w:ascii="Tahoma" w:eastAsia="Calibri" w:hAnsi="Tahoma" w:cs="Tahoma"/>
          <w:b/>
          <w:bCs/>
          <w:color w:val="000000"/>
        </w:rPr>
        <w:t xml:space="preserve">se seznanili </w:t>
      </w:r>
      <w:r w:rsidR="006C17CE">
        <w:rPr>
          <w:rFonts w:ascii="Tahoma" w:eastAsia="Calibri" w:hAnsi="Tahoma" w:cs="Tahoma"/>
          <w:b/>
          <w:bCs/>
          <w:color w:val="000000"/>
        </w:rPr>
        <w:t xml:space="preserve">s poslovanjem Javnega holdinga Ljubljana in </w:t>
      </w:r>
      <w:r w:rsidR="00A61FEE">
        <w:rPr>
          <w:rFonts w:ascii="Tahoma" w:eastAsia="Calibri" w:hAnsi="Tahoma" w:cs="Tahoma"/>
          <w:b/>
          <w:bCs/>
          <w:color w:val="000000"/>
        </w:rPr>
        <w:t>družb</w:t>
      </w:r>
      <w:r w:rsidR="006C17CE">
        <w:rPr>
          <w:rFonts w:ascii="Tahoma" w:eastAsia="Calibri" w:hAnsi="Tahoma" w:cs="Tahoma"/>
          <w:b/>
          <w:bCs/>
          <w:color w:val="000000"/>
        </w:rPr>
        <w:t xml:space="preserve"> v skupini v prvih devetih mesecih poslovanja, </w:t>
      </w:r>
      <w:r w:rsidR="00454411" w:rsidRPr="00454411">
        <w:rPr>
          <w:rFonts w:ascii="Tahoma" w:eastAsia="Calibri" w:hAnsi="Tahoma" w:cs="Tahoma"/>
          <w:b/>
          <w:bCs/>
          <w:color w:val="000000"/>
        </w:rPr>
        <w:t>imenovali člane nadzornega sveta družbe Javni holding Ljubljana za novo mandatno obdobje</w:t>
      </w:r>
      <w:r w:rsidR="00454411">
        <w:rPr>
          <w:rFonts w:ascii="Tahoma" w:eastAsia="Calibri" w:hAnsi="Tahoma" w:cs="Tahoma"/>
          <w:b/>
          <w:bCs/>
          <w:color w:val="000000"/>
        </w:rPr>
        <w:t xml:space="preserve"> in ob koncu seje </w:t>
      </w:r>
      <w:r w:rsidRPr="00275B6E">
        <w:rPr>
          <w:rFonts w:ascii="Tahoma" w:eastAsia="Calibri" w:hAnsi="Tahoma" w:cs="Tahoma"/>
          <w:b/>
          <w:bCs/>
          <w:color w:val="000000"/>
        </w:rPr>
        <w:t xml:space="preserve">sprejeli </w:t>
      </w:r>
      <w:r w:rsidR="00754A5D" w:rsidRPr="00275B6E">
        <w:rPr>
          <w:rFonts w:ascii="Tahoma" w:eastAsia="Calibri" w:hAnsi="Tahoma" w:cs="Tahoma"/>
          <w:b/>
          <w:bCs/>
          <w:color w:val="000000"/>
        </w:rPr>
        <w:t>sklep</w:t>
      </w:r>
      <w:r w:rsidR="005D0AE3">
        <w:rPr>
          <w:rFonts w:ascii="Tahoma" w:eastAsia="Calibri" w:hAnsi="Tahoma" w:cs="Tahoma"/>
          <w:b/>
          <w:bCs/>
          <w:color w:val="000000"/>
        </w:rPr>
        <w:t>e</w:t>
      </w:r>
      <w:r w:rsidR="00754A5D" w:rsidRPr="00275B6E">
        <w:rPr>
          <w:rFonts w:ascii="Tahoma" w:eastAsia="Calibri" w:hAnsi="Tahoma" w:cs="Tahoma"/>
          <w:b/>
          <w:bCs/>
          <w:color w:val="000000"/>
        </w:rPr>
        <w:t xml:space="preserve"> o razporeditvi čistega dobička družb</w:t>
      </w:r>
      <w:r w:rsidR="00E1362D" w:rsidRPr="00275B6E">
        <w:rPr>
          <w:rFonts w:ascii="Tahoma" w:eastAsia="Calibri" w:hAnsi="Tahoma" w:cs="Tahoma"/>
          <w:b/>
          <w:bCs/>
          <w:color w:val="000000"/>
        </w:rPr>
        <w:t xml:space="preserve"> Energetika Ljubl</w:t>
      </w:r>
      <w:r w:rsidR="00454411">
        <w:rPr>
          <w:rFonts w:ascii="Tahoma" w:eastAsia="Calibri" w:hAnsi="Tahoma" w:cs="Tahoma"/>
          <w:b/>
          <w:bCs/>
          <w:color w:val="000000"/>
        </w:rPr>
        <w:t>jana in Javni holding Ljubljana.</w:t>
      </w:r>
      <w:r w:rsidR="00E1362D" w:rsidRPr="00275B6E">
        <w:rPr>
          <w:rFonts w:ascii="Tahoma" w:eastAsia="Calibri" w:hAnsi="Tahoma" w:cs="Tahoma"/>
          <w:b/>
          <w:bCs/>
          <w:color w:val="000000"/>
        </w:rPr>
        <w:t xml:space="preserve"> </w:t>
      </w:r>
      <w:r w:rsidR="00E1362D" w:rsidRPr="00275B6E">
        <w:rPr>
          <w:rFonts w:ascii="Tahoma" w:hAnsi="Tahoma" w:cs="Tahoma"/>
          <w:b/>
        </w:rPr>
        <w:t>V nadaljevanju je potekala seja Sveta ustanoviteljev javnih podjetij</w:t>
      </w:r>
      <w:r w:rsidR="00E66465">
        <w:rPr>
          <w:rFonts w:ascii="Tahoma" w:hAnsi="Tahoma" w:cs="Tahoma"/>
          <w:b/>
        </w:rPr>
        <w:t>,</w:t>
      </w:r>
      <w:r w:rsidR="00E1362D" w:rsidRPr="00275B6E">
        <w:rPr>
          <w:rFonts w:ascii="Tahoma" w:hAnsi="Tahoma" w:cs="Tahoma"/>
          <w:b/>
        </w:rPr>
        <w:t xml:space="preserve"> na kateri so člani sveta obravnavali </w:t>
      </w:r>
      <w:r w:rsidR="00506AB6" w:rsidRPr="00506AB6">
        <w:rPr>
          <w:rFonts w:ascii="Tahoma" w:hAnsi="Tahoma" w:cs="Tahoma"/>
          <w:b/>
          <w:bCs/>
        </w:rPr>
        <w:t>elaborata javnega podjetja Snaga o oblikovanju cen storitev gospodarske javne službe ravnanja z odpadki</w:t>
      </w:r>
      <w:r w:rsidR="00506AB6">
        <w:rPr>
          <w:rFonts w:ascii="Tahoma" w:hAnsi="Tahoma" w:cs="Tahoma"/>
          <w:b/>
          <w:bCs/>
        </w:rPr>
        <w:t xml:space="preserve"> za leti 2016 in 2017.</w:t>
      </w:r>
    </w:p>
    <w:p w:rsidR="00506AB6" w:rsidRPr="00275B6E" w:rsidRDefault="00506AB6" w:rsidP="001319AE">
      <w:pPr>
        <w:autoSpaceDE w:val="0"/>
        <w:autoSpaceDN w:val="0"/>
        <w:adjustRightInd w:val="0"/>
        <w:jc w:val="both"/>
        <w:rPr>
          <w:rFonts w:ascii="Tahoma" w:hAnsi="Tahoma" w:cs="Tahoma"/>
          <w:b/>
        </w:rPr>
      </w:pPr>
    </w:p>
    <w:p w:rsidR="00D53122" w:rsidRPr="00D53122" w:rsidRDefault="00454411" w:rsidP="00D53122">
      <w:pPr>
        <w:jc w:val="both"/>
        <w:rPr>
          <w:rFonts w:ascii="Tahoma" w:eastAsia="Calibri" w:hAnsi="Tahoma" w:cs="Tahoma"/>
          <w:bCs/>
          <w:color w:val="000000"/>
        </w:rPr>
      </w:pPr>
      <w:r w:rsidRPr="00454411">
        <w:rPr>
          <w:rFonts w:ascii="Tahoma" w:eastAsia="Calibri" w:hAnsi="Tahoma" w:cs="Tahoma"/>
          <w:bCs/>
          <w:color w:val="000000"/>
        </w:rPr>
        <w:t xml:space="preserve">Družbeniki so </w:t>
      </w:r>
      <w:r>
        <w:rPr>
          <w:rFonts w:ascii="Tahoma" w:eastAsia="Calibri" w:hAnsi="Tahoma" w:cs="Tahoma"/>
          <w:bCs/>
          <w:color w:val="000000"/>
        </w:rPr>
        <w:t>se seznanili z</w:t>
      </w:r>
      <w:r w:rsidRPr="00454411">
        <w:rPr>
          <w:rFonts w:ascii="Tahoma" w:eastAsia="Calibri" w:hAnsi="Tahoma" w:cs="Tahoma"/>
          <w:bCs/>
          <w:color w:val="000000"/>
        </w:rPr>
        <w:t xml:space="preserve"> informacijo o devetmesečnem poslovanju Javnega holdinga Ljubljana in družb v skupini. V </w:t>
      </w:r>
      <w:r>
        <w:rPr>
          <w:rFonts w:ascii="Tahoma" w:eastAsia="Calibri" w:hAnsi="Tahoma" w:cs="Tahoma"/>
          <w:bCs/>
          <w:color w:val="000000"/>
        </w:rPr>
        <w:t>obdobju januar – september 2015 so</w:t>
      </w:r>
      <w:r w:rsidRPr="00454411">
        <w:rPr>
          <w:rFonts w:ascii="Tahoma" w:eastAsia="Calibri" w:hAnsi="Tahoma" w:cs="Tahoma"/>
          <w:bCs/>
          <w:color w:val="000000"/>
        </w:rPr>
        <w:t xml:space="preserve"> vse družbe, razen Ljubljansk</w:t>
      </w:r>
      <w:r w:rsidR="00070B10">
        <w:rPr>
          <w:rFonts w:ascii="Tahoma" w:eastAsia="Calibri" w:hAnsi="Tahoma" w:cs="Tahoma"/>
          <w:bCs/>
          <w:color w:val="000000"/>
        </w:rPr>
        <w:t>i</w:t>
      </w:r>
      <w:r w:rsidRPr="00454411">
        <w:rPr>
          <w:rFonts w:ascii="Tahoma" w:eastAsia="Calibri" w:hAnsi="Tahoma" w:cs="Tahoma"/>
          <w:bCs/>
          <w:color w:val="000000"/>
        </w:rPr>
        <w:t xml:space="preserve"> potnišk</w:t>
      </w:r>
      <w:r w:rsidR="00070B10">
        <w:rPr>
          <w:rFonts w:ascii="Tahoma" w:eastAsia="Calibri" w:hAnsi="Tahoma" w:cs="Tahoma"/>
          <w:bCs/>
          <w:color w:val="000000"/>
        </w:rPr>
        <w:t>i promet</w:t>
      </w:r>
      <w:r w:rsidRPr="00454411">
        <w:rPr>
          <w:rFonts w:ascii="Tahoma" w:eastAsia="Calibri" w:hAnsi="Tahoma" w:cs="Tahoma"/>
          <w:bCs/>
          <w:color w:val="000000"/>
        </w:rPr>
        <w:t xml:space="preserve">, </w:t>
      </w:r>
      <w:r w:rsidR="00D53122">
        <w:rPr>
          <w:rFonts w:ascii="Tahoma" w:eastAsia="Calibri" w:hAnsi="Tahoma" w:cs="Tahoma"/>
          <w:bCs/>
          <w:color w:val="000000"/>
        </w:rPr>
        <w:t>zabeležile</w:t>
      </w:r>
      <w:r w:rsidRPr="00454411">
        <w:rPr>
          <w:rFonts w:ascii="Tahoma" w:eastAsia="Calibri" w:hAnsi="Tahoma" w:cs="Tahoma"/>
          <w:bCs/>
          <w:color w:val="000000"/>
        </w:rPr>
        <w:t xml:space="preserve"> pozitiven rezultat, in sicer Javno podjetje Vodovod</w:t>
      </w:r>
      <w:r w:rsidR="000830D7">
        <w:rPr>
          <w:rFonts w:ascii="Tahoma" w:eastAsia="Calibri" w:hAnsi="Tahoma" w:cs="Tahoma"/>
          <w:bCs/>
          <w:color w:val="000000"/>
        </w:rPr>
        <w:t xml:space="preserve"> </w:t>
      </w:r>
      <w:r w:rsidRPr="00454411">
        <w:rPr>
          <w:rFonts w:ascii="Tahoma" w:eastAsia="Calibri" w:hAnsi="Tahoma" w:cs="Tahoma"/>
          <w:bCs/>
          <w:color w:val="000000"/>
        </w:rPr>
        <w:t>-Kanalizacija v višini 345.114 EUR, Energetika Ljubljana 4.475.830 EUR, Snaga 404.844 EUR in Javni holding Ljubljana v višini 2.374.162 EUR. Javno podjetje Ljubljanski potniški promet beleži izgubo v višini 1.855.925 EUR.</w:t>
      </w:r>
      <w:r w:rsidR="00D53122" w:rsidRPr="00D53122">
        <w:rPr>
          <w:rFonts w:cstheme="minorBidi"/>
          <w:szCs w:val="21"/>
        </w:rPr>
        <w:t xml:space="preserve"> </w:t>
      </w:r>
      <w:r w:rsidR="00D53122" w:rsidRPr="00D53122">
        <w:rPr>
          <w:rFonts w:ascii="Tahoma" w:eastAsia="Calibri" w:hAnsi="Tahoma" w:cs="Tahoma"/>
          <w:bCs/>
          <w:color w:val="000000"/>
        </w:rPr>
        <w:t>Skupna vrednost načrtovanih investicijskih naložb vseh družb v skupini Javnega holdinga</w:t>
      </w:r>
      <w:r w:rsidR="00DA0C71">
        <w:rPr>
          <w:rFonts w:ascii="Tahoma" w:eastAsia="Calibri" w:hAnsi="Tahoma" w:cs="Tahoma"/>
          <w:bCs/>
          <w:color w:val="000000"/>
        </w:rPr>
        <w:t xml:space="preserve"> Ljubljana</w:t>
      </w:r>
      <w:r w:rsidR="00D53122" w:rsidRPr="00D53122">
        <w:rPr>
          <w:rFonts w:ascii="Tahoma" w:eastAsia="Calibri" w:hAnsi="Tahoma" w:cs="Tahoma"/>
          <w:bCs/>
          <w:color w:val="000000"/>
        </w:rPr>
        <w:t xml:space="preserve"> za leto 2015 znaša 38 mio EUR, v prvih devetih mesecih leta je bilo realizirano 15,9 mio EUR investicijskih vlaganj, kar predstavlja 41,8</w:t>
      </w:r>
      <w:r w:rsidR="004D392B">
        <w:rPr>
          <w:rFonts w:ascii="Tahoma" w:eastAsia="Calibri" w:hAnsi="Tahoma" w:cs="Tahoma"/>
          <w:bCs/>
          <w:color w:val="000000"/>
        </w:rPr>
        <w:t xml:space="preserve"> odstotkov</w:t>
      </w:r>
      <w:r w:rsidR="00D53122" w:rsidRPr="00D53122">
        <w:rPr>
          <w:rFonts w:ascii="Tahoma" w:eastAsia="Calibri" w:hAnsi="Tahoma" w:cs="Tahoma"/>
          <w:bCs/>
          <w:color w:val="000000"/>
        </w:rPr>
        <w:t xml:space="preserve"> načrtovane vrednosti. Za potrebe obnov in nadomestitev je bilo porabljenih 10.902.243 EUR, za razvojne projekte pa 5.068.065 EUR.</w:t>
      </w:r>
    </w:p>
    <w:p w:rsidR="00454411" w:rsidRDefault="00454411" w:rsidP="001319AE">
      <w:pPr>
        <w:jc w:val="both"/>
        <w:rPr>
          <w:rFonts w:ascii="Tahoma" w:eastAsia="Calibri" w:hAnsi="Tahoma" w:cs="Tahoma"/>
          <w:bCs/>
          <w:color w:val="000000"/>
        </w:rPr>
      </w:pPr>
    </w:p>
    <w:p w:rsidR="00D53122" w:rsidRPr="00D53122" w:rsidRDefault="00D53122" w:rsidP="00D53122">
      <w:pPr>
        <w:jc w:val="both"/>
        <w:rPr>
          <w:rFonts w:ascii="Tahoma" w:eastAsia="Calibri" w:hAnsi="Tahoma" w:cs="Tahoma"/>
          <w:bCs/>
          <w:color w:val="000000"/>
        </w:rPr>
      </w:pPr>
      <w:r>
        <w:rPr>
          <w:rFonts w:ascii="Tahoma" w:eastAsia="Calibri" w:hAnsi="Tahoma" w:cs="Tahoma"/>
          <w:bCs/>
          <w:color w:val="000000"/>
        </w:rPr>
        <w:t xml:space="preserve">V nadaljevanju seje </w:t>
      </w:r>
      <w:r w:rsidRPr="00D53122">
        <w:rPr>
          <w:rFonts w:ascii="Tahoma" w:eastAsia="Calibri" w:hAnsi="Tahoma" w:cs="Tahoma"/>
          <w:bCs/>
          <w:color w:val="000000"/>
        </w:rPr>
        <w:t xml:space="preserve">so družbeniki imenovali člane nadzornega sveta družbe Javni holding </w:t>
      </w:r>
      <w:r w:rsidR="00DA0C71">
        <w:rPr>
          <w:rFonts w:ascii="Tahoma" w:eastAsia="Calibri" w:hAnsi="Tahoma" w:cs="Tahoma"/>
          <w:bCs/>
          <w:color w:val="000000"/>
        </w:rPr>
        <w:t xml:space="preserve">Ljubljana </w:t>
      </w:r>
      <w:r w:rsidRPr="00D53122">
        <w:rPr>
          <w:rFonts w:ascii="Tahoma" w:eastAsia="Calibri" w:hAnsi="Tahoma" w:cs="Tahoma"/>
          <w:bCs/>
          <w:color w:val="000000"/>
        </w:rPr>
        <w:t xml:space="preserve">za novo mandatno obdobje. Skladno z Družbeno pogodbo o ustanovitvi Javnega holdinga Ljubljana ima nadzorni svet družbe osem članov. Pet članov nadzornega sveta imenuje skupščina na predlog Mestne občine Ljubljana za obdobje štirih let, tri člane nadzornega sveta pa imenuje skupščina na usklajen predlog (občinskih svetov) manjšinskih družbenikov za obdobje dveh let, za obdobje naslednjih dveh let pa tri člane preostalih treh manjšinskih družbenikov. Na predlog družbenika Mestne občine </w:t>
      </w:r>
      <w:r w:rsidR="000830D7">
        <w:rPr>
          <w:rFonts w:ascii="Tahoma" w:eastAsia="Calibri" w:hAnsi="Tahoma" w:cs="Tahoma"/>
          <w:bCs/>
          <w:color w:val="000000"/>
        </w:rPr>
        <w:t xml:space="preserve">Ljubljana so bili imenovani Jadranka Dakić, Bojan Albreht, Urša Otoničar, Vasja Butina in </w:t>
      </w:r>
      <w:r w:rsidRPr="00D53122">
        <w:rPr>
          <w:rFonts w:ascii="Tahoma" w:eastAsia="Calibri" w:hAnsi="Tahoma" w:cs="Tahoma"/>
          <w:bCs/>
          <w:color w:val="000000"/>
        </w:rPr>
        <w:t xml:space="preserve">Miha Butara, ki štiriletni mandat nastopijo 16. </w:t>
      </w:r>
      <w:r w:rsidR="00BC6FE1">
        <w:rPr>
          <w:rFonts w:ascii="Tahoma" w:eastAsia="Calibri" w:hAnsi="Tahoma" w:cs="Tahoma"/>
          <w:bCs/>
          <w:color w:val="000000"/>
        </w:rPr>
        <w:t>decembra</w:t>
      </w:r>
      <w:r w:rsidRPr="00D53122">
        <w:rPr>
          <w:rFonts w:ascii="Tahoma" w:eastAsia="Calibri" w:hAnsi="Tahoma" w:cs="Tahoma"/>
          <w:bCs/>
          <w:color w:val="000000"/>
        </w:rPr>
        <w:t xml:space="preserve"> 2015. Za mandatno dobo dve leti pa so bili imenovani trije predstavniki manjšinskih družbenikov, in sicer Mateja Tavčar, predstavnica Obč</w:t>
      </w:r>
      <w:r w:rsidR="000830D7">
        <w:rPr>
          <w:rFonts w:ascii="Tahoma" w:eastAsia="Calibri" w:hAnsi="Tahoma" w:cs="Tahoma"/>
          <w:bCs/>
          <w:color w:val="000000"/>
        </w:rPr>
        <w:t xml:space="preserve">ine Dobrova – Polhov Gradec, </w:t>
      </w:r>
      <w:r w:rsidRPr="00D53122">
        <w:rPr>
          <w:rFonts w:ascii="Tahoma" w:eastAsia="Calibri" w:hAnsi="Tahoma" w:cs="Tahoma"/>
          <w:bCs/>
          <w:color w:val="000000"/>
        </w:rPr>
        <w:t>Darko Jurca</w:t>
      </w:r>
      <w:r w:rsidR="00BC6FE1">
        <w:rPr>
          <w:rFonts w:ascii="Tahoma" w:eastAsia="Calibri" w:hAnsi="Tahoma" w:cs="Tahoma"/>
          <w:bCs/>
          <w:color w:val="000000"/>
        </w:rPr>
        <w:t>,</w:t>
      </w:r>
      <w:r w:rsidRPr="00D53122">
        <w:rPr>
          <w:rFonts w:ascii="Tahoma" w:eastAsia="Calibri" w:hAnsi="Tahoma" w:cs="Tahoma"/>
          <w:bCs/>
          <w:color w:val="000000"/>
        </w:rPr>
        <w:t xml:space="preserve"> predstavnik Občine Brezovica in Katarina Blažič, predstavnica Občine Medvode.</w:t>
      </w:r>
    </w:p>
    <w:p w:rsidR="00D53122" w:rsidRPr="00D53122" w:rsidRDefault="00D53122" w:rsidP="00D53122">
      <w:pPr>
        <w:jc w:val="both"/>
        <w:rPr>
          <w:rFonts w:ascii="Tahoma" w:eastAsia="Calibri" w:hAnsi="Tahoma" w:cs="Tahoma"/>
          <w:bCs/>
          <w:color w:val="000000"/>
        </w:rPr>
      </w:pPr>
    </w:p>
    <w:p w:rsidR="00DA0C71" w:rsidRDefault="00C70B28" w:rsidP="001319AE">
      <w:pPr>
        <w:jc w:val="both"/>
        <w:rPr>
          <w:rFonts w:ascii="Tahoma" w:eastAsia="Times New Roman" w:hAnsi="Tahoma" w:cs="Tahoma"/>
        </w:rPr>
      </w:pPr>
      <w:r w:rsidRPr="00070B10">
        <w:rPr>
          <w:rFonts w:ascii="Tahoma" w:eastAsia="Calibri" w:hAnsi="Tahoma" w:cs="Tahoma"/>
          <w:bCs/>
          <w:color w:val="000000"/>
        </w:rPr>
        <w:t>Na</w:t>
      </w:r>
      <w:r w:rsidR="00454411" w:rsidRPr="00070B10">
        <w:rPr>
          <w:rFonts w:ascii="Tahoma" w:eastAsia="Calibri" w:hAnsi="Tahoma" w:cs="Tahoma"/>
          <w:bCs/>
          <w:color w:val="000000"/>
        </w:rPr>
        <w:t xml:space="preserve"> sej</w:t>
      </w:r>
      <w:r w:rsidRPr="00070B10">
        <w:rPr>
          <w:rFonts w:ascii="Tahoma" w:eastAsia="Calibri" w:hAnsi="Tahoma" w:cs="Tahoma"/>
          <w:bCs/>
          <w:color w:val="000000"/>
        </w:rPr>
        <w:t>i</w:t>
      </w:r>
      <w:r w:rsidR="00454411" w:rsidRPr="00070B10">
        <w:rPr>
          <w:rFonts w:ascii="Tahoma" w:eastAsia="Calibri" w:hAnsi="Tahoma" w:cs="Tahoma"/>
          <w:bCs/>
          <w:color w:val="000000"/>
        </w:rPr>
        <w:t xml:space="preserve"> so</w:t>
      </w:r>
      <w:r w:rsidR="00454411">
        <w:rPr>
          <w:rFonts w:ascii="Tahoma" w:eastAsia="Calibri" w:hAnsi="Tahoma" w:cs="Tahoma"/>
          <w:bCs/>
          <w:color w:val="000000"/>
        </w:rPr>
        <w:t xml:space="preserve"> d</w:t>
      </w:r>
      <w:r w:rsidR="00275B6E" w:rsidRPr="00BE6D5A">
        <w:rPr>
          <w:rFonts w:ascii="Tahoma" w:eastAsia="Calibri" w:hAnsi="Tahoma" w:cs="Tahoma"/>
          <w:bCs/>
          <w:color w:val="000000"/>
        </w:rPr>
        <w:t xml:space="preserve">ružbeniki Javnega holdinga Ljubljana sprejeli sklep, </w:t>
      </w:r>
      <w:r w:rsidR="00A554CE" w:rsidRPr="00BE6D5A">
        <w:rPr>
          <w:rFonts w:ascii="Tahoma" w:hAnsi="Tahoma" w:cs="Tahoma"/>
          <w:bCs/>
        </w:rPr>
        <w:t xml:space="preserve">da se </w:t>
      </w:r>
      <w:r w:rsidR="00A554CE" w:rsidRPr="00BE6D5A">
        <w:rPr>
          <w:rFonts w:ascii="Tahoma" w:hAnsi="Tahoma" w:cs="Tahoma"/>
        </w:rPr>
        <w:t xml:space="preserve">preneseni čisti dobiček preteklih let družbe </w:t>
      </w:r>
      <w:r w:rsidR="00275B6E" w:rsidRPr="00BE6D5A">
        <w:rPr>
          <w:rFonts w:ascii="Tahoma" w:hAnsi="Tahoma" w:cs="Tahoma"/>
        </w:rPr>
        <w:t xml:space="preserve">Energetika Ljubljana </w:t>
      </w:r>
      <w:r w:rsidR="00A554CE" w:rsidRPr="00BE6D5A">
        <w:rPr>
          <w:rFonts w:ascii="Tahoma" w:hAnsi="Tahoma" w:cs="Tahoma"/>
        </w:rPr>
        <w:t xml:space="preserve">v višini </w:t>
      </w:r>
      <w:r w:rsidR="004D31F2">
        <w:rPr>
          <w:rFonts w:ascii="Tahoma" w:hAnsi="Tahoma" w:cs="Tahoma"/>
        </w:rPr>
        <w:t>2.</w:t>
      </w:r>
      <w:r w:rsidR="00275B6E" w:rsidRPr="00BE6D5A">
        <w:rPr>
          <w:rFonts w:ascii="Tahoma" w:hAnsi="Tahoma" w:cs="Tahoma"/>
        </w:rPr>
        <w:t>2</w:t>
      </w:r>
      <w:r w:rsidR="004D31F2">
        <w:rPr>
          <w:rFonts w:ascii="Tahoma" w:hAnsi="Tahoma" w:cs="Tahoma"/>
        </w:rPr>
        <w:t>00</w:t>
      </w:r>
      <w:r w:rsidR="00E66465">
        <w:rPr>
          <w:rFonts w:ascii="Tahoma" w:hAnsi="Tahoma" w:cs="Tahoma"/>
        </w:rPr>
        <w:t>.000</w:t>
      </w:r>
      <w:r w:rsidR="00A554CE" w:rsidRPr="00BE6D5A">
        <w:rPr>
          <w:rFonts w:ascii="Tahoma" w:hAnsi="Tahoma" w:cs="Tahoma"/>
        </w:rPr>
        <w:t xml:space="preserve"> EUR ra</w:t>
      </w:r>
      <w:r w:rsidR="00070B10">
        <w:rPr>
          <w:rFonts w:ascii="Tahoma" w:hAnsi="Tahoma" w:cs="Tahoma"/>
        </w:rPr>
        <w:t xml:space="preserve">zporedi za prenos na družbenika Javni holding Ljubljana. </w:t>
      </w:r>
      <w:r w:rsidR="006D489F" w:rsidRPr="00BE6D5A">
        <w:rPr>
          <w:rFonts w:ascii="Tahoma" w:hAnsi="Tahoma" w:cs="Tahoma"/>
        </w:rPr>
        <w:t>Sprejeli so tudi sklep</w:t>
      </w:r>
      <w:r w:rsidR="00BE6D5A" w:rsidRPr="00BE6D5A">
        <w:rPr>
          <w:rFonts w:ascii="Tahoma" w:hAnsi="Tahoma" w:cs="Tahoma"/>
        </w:rPr>
        <w:t>a</w:t>
      </w:r>
      <w:r w:rsidR="006D489F" w:rsidRPr="00BE6D5A">
        <w:rPr>
          <w:rFonts w:ascii="Tahoma" w:hAnsi="Tahoma" w:cs="Tahoma"/>
        </w:rPr>
        <w:t xml:space="preserve">, da se </w:t>
      </w:r>
      <w:r w:rsidR="006D489F" w:rsidRPr="00BE6D5A">
        <w:rPr>
          <w:rFonts w:ascii="Tahoma" w:eastAsia="Times New Roman" w:hAnsi="Tahoma" w:cs="Tahoma"/>
        </w:rPr>
        <w:t xml:space="preserve">preneseni čisti dobiček </w:t>
      </w:r>
      <w:r w:rsidR="006D489F" w:rsidRPr="00BE6D5A">
        <w:rPr>
          <w:rFonts w:ascii="Tahoma" w:eastAsia="Times New Roman" w:hAnsi="Tahoma" w:cs="Tahoma"/>
          <w:color w:val="000000"/>
        </w:rPr>
        <w:t xml:space="preserve">preteklih let </w:t>
      </w:r>
      <w:r w:rsidR="00BE6D5A" w:rsidRPr="00BE6D5A">
        <w:rPr>
          <w:rFonts w:ascii="Tahoma" w:eastAsia="Times New Roman" w:hAnsi="Tahoma" w:cs="Tahoma"/>
          <w:bCs/>
        </w:rPr>
        <w:t>v višini 897</w:t>
      </w:r>
      <w:r w:rsidR="00E66465">
        <w:rPr>
          <w:rFonts w:ascii="Tahoma" w:eastAsia="Times New Roman" w:hAnsi="Tahoma" w:cs="Tahoma"/>
          <w:bCs/>
        </w:rPr>
        <w:t>.</w:t>
      </w:r>
      <w:r w:rsidR="00095626">
        <w:rPr>
          <w:rFonts w:ascii="Tahoma" w:eastAsia="Times New Roman" w:hAnsi="Tahoma" w:cs="Tahoma"/>
          <w:bCs/>
        </w:rPr>
        <w:t>637</w:t>
      </w:r>
      <w:r w:rsidR="00095626" w:rsidRPr="00BE6D5A">
        <w:rPr>
          <w:rFonts w:ascii="Tahoma" w:eastAsia="Times New Roman" w:hAnsi="Tahoma" w:cs="Tahoma"/>
          <w:bCs/>
        </w:rPr>
        <w:t xml:space="preserve"> </w:t>
      </w:r>
      <w:r w:rsidR="00BE6D5A" w:rsidRPr="00BE6D5A">
        <w:rPr>
          <w:rFonts w:ascii="Tahoma" w:eastAsia="Times New Roman" w:hAnsi="Tahoma" w:cs="Tahoma"/>
          <w:bCs/>
        </w:rPr>
        <w:t>EUR</w:t>
      </w:r>
      <w:r w:rsidR="006D489F" w:rsidRPr="00BE6D5A">
        <w:rPr>
          <w:rFonts w:ascii="Tahoma" w:eastAsia="Times New Roman" w:hAnsi="Tahoma" w:cs="Tahoma"/>
        </w:rPr>
        <w:t xml:space="preserve"> </w:t>
      </w:r>
      <w:r w:rsidR="00BE6D5A" w:rsidRPr="00BE6D5A">
        <w:rPr>
          <w:rFonts w:ascii="Tahoma" w:eastAsia="Times New Roman" w:hAnsi="Tahoma" w:cs="Tahoma"/>
        </w:rPr>
        <w:t xml:space="preserve">in </w:t>
      </w:r>
      <w:r w:rsidR="00095626">
        <w:rPr>
          <w:rFonts w:ascii="Tahoma" w:eastAsia="Times New Roman" w:hAnsi="Tahoma" w:cs="Tahoma"/>
        </w:rPr>
        <w:t xml:space="preserve">del </w:t>
      </w:r>
      <w:r w:rsidR="00095626" w:rsidRPr="00BE6D5A">
        <w:rPr>
          <w:rFonts w:ascii="Tahoma" w:eastAsia="Times New Roman" w:hAnsi="Tahoma" w:cs="Tahoma"/>
          <w:bCs/>
        </w:rPr>
        <w:t>predviden</w:t>
      </w:r>
      <w:r w:rsidR="00095626">
        <w:rPr>
          <w:rFonts w:ascii="Tahoma" w:eastAsia="Times New Roman" w:hAnsi="Tahoma" w:cs="Tahoma"/>
          <w:bCs/>
        </w:rPr>
        <w:t>ega</w:t>
      </w:r>
      <w:r w:rsidR="00095626" w:rsidRPr="00BE6D5A">
        <w:rPr>
          <w:rFonts w:ascii="Tahoma" w:eastAsia="Times New Roman" w:hAnsi="Tahoma" w:cs="Tahoma"/>
          <w:bCs/>
        </w:rPr>
        <w:t xml:space="preserve"> </w:t>
      </w:r>
      <w:r w:rsidR="00BE6D5A" w:rsidRPr="00BE6D5A">
        <w:rPr>
          <w:rFonts w:ascii="Tahoma" w:eastAsia="Times New Roman" w:hAnsi="Tahoma" w:cs="Tahoma"/>
          <w:bCs/>
        </w:rPr>
        <w:t>bilančn</w:t>
      </w:r>
      <w:r w:rsidR="00095626">
        <w:rPr>
          <w:rFonts w:ascii="Tahoma" w:eastAsia="Times New Roman" w:hAnsi="Tahoma" w:cs="Tahoma"/>
          <w:bCs/>
        </w:rPr>
        <w:t>ega</w:t>
      </w:r>
      <w:r w:rsidR="00BE6D5A" w:rsidRPr="00BE6D5A">
        <w:rPr>
          <w:rFonts w:ascii="Tahoma" w:eastAsia="Times New Roman" w:hAnsi="Tahoma" w:cs="Tahoma"/>
          <w:bCs/>
        </w:rPr>
        <w:t xml:space="preserve"> dobič</w:t>
      </w:r>
      <w:r w:rsidR="00095626">
        <w:rPr>
          <w:rFonts w:ascii="Tahoma" w:eastAsia="Times New Roman" w:hAnsi="Tahoma" w:cs="Tahoma"/>
          <w:bCs/>
        </w:rPr>
        <w:t>ka</w:t>
      </w:r>
      <w:r w:rsidR="00BE6D5A" w:rsidRPr="00BE6D5A">
        <w:rPr>
          <w:rFonts w:ascii="Tahoma" w:eastAsia="Times New Roman" w:hAnsi="Tahoma" w:cs="Tahoma"/>
          <w:bCs/>
        </w:rPr>
        <w:t xml:space="preserve"> leta 2015 v višini 1.302</w:t>
      </w:r>
      <w:r w:rsidR="00E66465">
        <w:rPr>
          <w:rFonts w:ascii="Tahoma" w:eastAsia="Times New Roman" w:hAnsi="Tahoma" w:cs="Tahoma"/>
          <w:bCs/>
        </w:rPr>
        <w:t>.</w:t>
      </w:r>
      <w:r w:rsidR="00095626">
        <w:rPr>
          <w:rFonts w:ascii="Tahoma" w:eastAsia="Times New Roman" w:hAnsi="Tahoma" w:cs="Tahoma"/>
          <w:bCs/>
        </w:rPr>
        <w:t>363</w:t>
      </w:r>
      <w:r w:rsidR="00095626" w:rsidRPr="00BE6D5A">
        <w:rPr>
          <w:rFonts w:ascii="Tahoma" w:eastAsia="Times New Roman" w:hAnsi="Tahoma" w:cs="Tahoma"/>
          <w:bCs/>
        </w:rPr>
        <w:t xml:space="preserve"> </w:t>
      </w:r>
      <w:r w:rsidR="00BE6D5A" w:rsidRPr="00BE6D5A">
        <w:rPr>
          <w:rFonts w:ascii="Tahoma" w:eastAsia="Times New Roman" w:hAnsi="Tahoma" w:cs="Tahoma"/>
          <w:bCs/>
        </w:rPr>
        <w:t>EUR</w:t>
      </w:r>
      <w:r w:rsidR="00B62A41">
        <w:rPr>
          <w:rFonts w:ascii="Tahoma" w:eastAsia="Times New Roman" w:hAnsi="Tahoma" w:cs="Tahoma"/>
          <w:bCs/>
        </w:rPr>
        <w:t xml:space="preserve"> </w:t>
      </w:r>
      <w:r w:rsidR="00B62A41" w:rsidRPr="00BE6D5A">
        <w:rPr>
          <w:rFonts w:ascii="Tahoma" w:eastAsia="Times New Roman" w:hAnsi="Tahoma" w:cs="Tahoma"/>
          <w:bCs/>
        </w:rPr>
        <w:t>v družbi Javni holding Ljubljana</w:t>
      </w:r>
      <w:r w:rsidR="00BE6D5A" w:rsidRPr="00BE6D5A">
        <w:rPr>
          <w:rFonts w:ascii="Tahoma" w:eastAsia="Times New Roman" w:hAnsi="Tahoma" w:cs="Tahoma"/>
          <w:bCs/>
        </w:rPr>
        <w:t xml:space="preserve"> </w:t>
      </w:r>
      <w:r w:rsidR="006D489F" w:rsidRPr="00BE6D5A">
        <w:rPr>
          <w:rFonts w:ascii="Tahoma" w:eastAsia="Times New Roman" w:hAnsi="Tahoma" w:cs="Tahoma"/>
        </w:rPr>
        <w:t>razporedi za prenos na družbenike</w:t>
      </w:r>
      <w:r w:rsidR="00BE6D5A" w:rsidRPr="00BE6D5A">
        <w:rPr>
          <w:rFonts w:ascii="Tahoma" w:eastAsia="Times New Roman" w:hAnsi="Tahoma" w:cs="Tahoma"/>
        </w:rPr>
        <w:t xml:space="preserve"> (občine lastnice)</w:t>
      </w:r>
      <w:r w:rsidR="006D489F" w:rsidRPr="00BE6D5A">
        <w:rPr>
          <w:rFonts w:ascii="Tahoma" w:eastAsia="Times New Roman" w:hAnsi="Tahoma" w:cs="Tahoma"/>
        </w:rPr>
        <w:t xml:space="preserve"> sorazmerno z višino poslovnih deležev po družbeni pogodbi</w:t>
      </w:r>
      <w:r w:rsidR="00BE6D5A" w:rsidRPr="00BE6D5A">
        <w:rPr>
          <w:rFonts w:ascii="Tahoma" w:eastAsia="Times New Roman" w:hAnsi="Tahoma" w:cs="Tahoma"/>
        </w:rPr>
        <w:t>.</w:t>
      </w:r>
    </w:p>
    <w:p w:rsidR="006D489F" w:rsidRDefault="006D489F" w:rsidP="001319AE">
      <w:pPr>
        <w:jc w:val="both"/>
        <w:rPr>
          <w:rFonts w:ascii="Tahoma" w:eastAsia="Times New Roman" w:hAnsi="Tahoma" w:cs="Tahoma"/>
          <w:color w:val="000000"/>
        </w:rPr>
      </w:pPr>
      <w:r w:rsidRPr="00BE6D5A">
        <w:rPr>
          <w:rFonts w:ascii="Tahoma" w:eastAsia="Times New Roman" w:hAnsi="Tahoma" w:cs="Tahoma"/>
          <w:color w:val="000000"/>
        </w:rPr>
        <w:t xml:space="preserve"> </w:t>
      </w:r>
    </w:p>
    <w:p w:rsidR="00133B09" w:rsidRPr="00D53122" w:rsidRDefault="00095F07" w:rsidP="001319AE">
      <w:pPr>
        <w:jc w:val="both"/>
        <w:rPr>
          <w:rFonts w:ascii="Tahoma" w:hAnsi="Tahoma" w:cs="Tahoma"/>
        </w:rPr>
      </w:pPr>
      <w:r w:rsidRPr="00095F07">
        <w:rPr>
          <w:rFonts w:ascii="Tahoma" w:hAnsi="Tahoma" w:cs="Tahoma"/>
        </w:rPr>
        <w:t>Prerazporedit</w:t>
      </w:r>
      <w:r w:rsidR="00350311">
        <w:rPr>
          <w:rFonts w:ascii="Tahoma" w:hAnsi="Tahoma" w:cs="Tahoma"/>
        </w:rPr>
        <w:t>e</w:t>
      </w:r>
      <w:r w:rsidRPr="00095F07">
        <w:rPr>
          <w:rFonts w:ascii="Tahoma" w:hAnsi="Tahoma" w:cs="Tahoma"/>
        </w:rPr>
        <w:t>v sredstev je narejena z namenom stabilnejšega poslovanj</w:t>
      </w:r>
      <w:r w:rsidR="00D53122">
        <w:rPr>
          <w:rFonts w:ascii="Tahoma" w:hAnsi="Tahoma" w:cs="Tahoma"/>
        </w:rPr>
        <w:t>a</w:t>
      </w:r>
      <w:r w:rsidRPr="00095F07">
        <w:rPr>
          <w:rFonts w:ascii="Tahoma" w:hAnsi="Tahoma" w:cs="Tahoma"/>
        </w:rPr>
        <w:t xml:space="preserve"> </w:t>
      </w:r>
      <w:r>
        <w:rPr>
          <w:rFonts w:ascii="Tahoma" w:hAnsi="Tahoma" w:cs="Tahoma"/>
        </w:rPr>
        <w:t xml:space="preserve">celotnega </w:t>
      </w:r>
      <w:r w:rsidRPr="00095F07">
        <w:rPr>
          <w:rFonts w:ascii="Tahoma" w:hAnsi="Tahoma" w:cs="Tahoma"/>
        </w:rPr>
        <w:t>sistema  in realizacije že sprejetega sklepa skupščine Javnega holdinga</w:t>
      </w:r>
      <w:r>
        <w:rPr>
          <w:rFonts w:ascii="Tahoma" w:hAnsi="Tahoma" w:cs="Tahoma"/>
        </w:rPr>
        <w:t xml:space="preserve">, s katerim so se </w:t>
      </w:r>
      <w:r w:rsidRPr="00095F07">
        <w:rPr>
          <w:rFonts w:ascii="Tahoma" w:hAnsi="Tahoma" w:cs="Tahoma"/>
        </w:rPr>
        <w:t>občin</w:t>
      </w:r>
      <w:r>
        <w:rPr>
          <w:rFonts w:ascii="Tahoma" w:hAnsi="Tahoma" w:cs="Tahoma"/>
        </w:rPr>
        <w:t>e</w:t>
      </w:r>
      <w:r w:rsidRPr="00095F07">
        <w:rPr>
          <w:rFonts w:ascii="Tahoma" w:hAnsi="Tahoma" w:cs="Tahoma"/>
        </w:rPr>
        <w:t xml:space="preserve"> družbenic</w:t>
      </w:r>
      <w:r>
        <w:rPr>
          <w:rFonts w:ascii="Tahoma" w:hAnsi="Tahoma" w:cs="Tahoma"/>
        </w:rPr>
        <w:t>e</w:t>
      </w:r>
      <w:r w:rsidRPr="00095F07">
        <w:rPr>
          <w:rFonts w:ascii="Tahoma" w:hAnsi="Tahoma" w:cs="Tahoma"/>
        </w:rPr>
        <w:t xml:space="preserve"> zavez</w:t>
      </w:r>
      <w:r>
        <w:rPr>
          <w:rFonts w:ascii="Tahoma" w:hAnsi="Tahoma" w:cs="Tahoma"/>
        </w:rPr>
        <w:t>ale</w:t>
      </w:r>
      <w:r w:rsidRPr="00095F07">
        <w:rPr>
          <w:rFonts w:ascii="Tahoma" w:hAnsi="Tahoma" w:cs="Tahoma"/>
        </w:rPr>
        <w:t>, da javnemu podjetju L</w:t>
      </w:r>
      <w:r w:rsidR="001319AE">
        <w:rPr>
          <w:rFonts w:ascii="Tahoma" w:hAnsi="Tahoma" w:cs="Tahoma"/>
        </w:rPr>
        <w:t xml:space="preserve">jubljanski potniški promet </w:t>
      </w:r>
      <w:r w:rsidRPr="00095F07">
        <w:rPr>
          <w:rFonts w:ascii="Tahoma" w:hAnsi="Tahoma" w:cs="Tahoma"/>
        </w:rPr>
        <w:t>zagotovijo plačilo dodatnega nadomestila za izvajanje gospodarske javne službe linijskega prevoza potnikov</w:t>
      </w:r>
      <w:r w:rsidR="00E66465">
        <w:rPr>
          <w:rFonts w:ascii="Tahoma" w:hAnsi="Tahoma" w:cs="Tahoma"/>
        </w:rPr>
        <w:t>.</w:t>
      </w:r>
    </w:p>
    <w:p w:rsidR="00883656" w:rsidRDefault="00883656" w:rsidP="00883656">
      <w:pPr>
        <w:jc w:val="both"/>
        <w:rPr>
          <w:rFonts w:ascii="Tahoma" w:eastAsia="Times New Roman" w:hAnsi="Tahoma" w:cs="Tahoma"/>
          <w:bCs/>
        </w:rPr>
      </w:pPr>
    </w:p>
    <w:p w:rsidR="00883656" w:rsidRDefault="00883656" w:rsidP="00883656">
      <w:pPr>
        <w:jc w:val="both"/>
        <w:rPr>
          <w:rFonts w:ascii="Tahoma" w:eastAsia="Times New Roman" w:hAnsi="Tahoma" w:cs="Tahoma"/>
          <w:bCs/>
        </w:rPr>
      </w:pPr>
      <w:r w:rsidRPr="00D53122">
        <w:rPr>
          <w:rFonts w:ascii="Tahoma" w:eastAsia="Times New Roman" w:hAnsi="Tahoma" w:cs="Tahoma"/>
          <w:bCs/>
        </w:rPr>
        <w:t>Po seji skupščine Javnega holdinga Ljubljana se je sestal Svet ustanoviteljev, ki je</w:t>
      </w:r>
      <w:r w:rsidRPr="00D53122">
        <w:rPr>
          <w:rFonts w:ascii="Tahoma" w:hAnsi="Tahoma" w:cs="Tahoma"/>
        </w:rPr>
        <w:t xml:space="preserve"> obravnaval </w:t>
      </w:r>
      <w:r w:rsidRPr="00D53122">
        <w:rPr>
          <w:rFonts w:ascii="Tahoma" w:eastAsia="Times New Roman" w:hAnsi="Tahoma" w:cs="Tahoma"/>
          <w:bCs/>
        </w:rPr>
        <w:t xml:space="preserve">elaborata javnega podjetja Snaga o oblikovanju cen </w:t>
      </w:r>
      <w:r w:rsidR="006C17CE">
        <w:rPr>
          <w:rFonts w:ascii="Tahoma" w:eastAsia="Times New Roman" w:hAnsi="Tahoma" w:cs="Tahoma"/>
          <w:bCs/>
        </w:rPr>
        <w:t xml:space="preserve">storitev </w:t>
      </w:r>
      <w:r w:rsidR="00506AB6">
        <w:rPr>
          <w:rFonts w:ascii="Tahoma" w:eastAsia="Times New Roman" w:hAnsi="Tahoma" w:cs="Tahoma"/>
          <w:bCs/>
        </w:rPr>
        <w:t>gospodarske javne službe ravnanja z odpadki</w:t>
      </w:r>
      <w:r w:rsidR="006C17CE">
        <w:rPr>
          <w:rFonts w:ascii="Tahoma" w:eastAsia="Times New Roman" w:hAnsi="Tahoma" w:cs="Tahoma"/>
          <w:bCs/>
        </w:rPr>
        <w:t>.</w:t>
      </w:r>
      <w:r w:rsidRPr="00D53122">
        <w:rPr>
          <w:rFonts w:ascii="Tahoma" w:eastAsia="Times New Roman" w:hAnsi="Tahoma" w:cs="Tahoma"/>
          <w:bCs/>
        </w:rPr>
        <w:t xml:space="preserve"> Javno podjetje Snaga je skladno z zakonodajo pripravilo izračun povprečne predračunske cene storitev gospodarske javne službe ravnanja z odpadki za obračunsko obdobje 2016 – 2017.</w:t>
      </w:r>
    </w:p>
    <w:p w:rsidR="00DA0C71" w:rsidRPr="00D53122" w:rsidRDefault="00DA0C71" w:rsidP="00883656">
      <w:pPr>
        <w:jc w:val="both"/>
        <w:rPr>
          <w:rFonts w:ascii="Tahoma" w:eastAsia="Times New Roman" w:hAnsi="Tahoma" w:cs="Tahoma"/>
          <w:bCs/>
        </w:rPr>
      </w:pPr>
    </w:p>
    <w:p w:rsidR="00883656" w:rsidRPr="00D53122" w:rsidRDefault="00883656" w:rsidP="00883656">
      <w:pPr>
        <w:jc w:val="both"/>
        <w:rPr>
          <w:rFonts w:ascii="Tahoma" w:eastAsia="Times New Roman" w:hAnsi="Tahoma" w:cs="Tahoma"/>
          <w:bCs/>
        </w:rPr>
      </w:pPr>
      <w:r w:rsidRPr="00D53122">
        <w:rPr>
          <w:rFonts w:ascii="Tahoma" w:eastAsia="Times New Roman" w:hAnsi="Tahoma" w:cs="Tahoma"/>
          <w:bCs/>
        </w:rPr>
        <w:t>Prihodnje obračunsko obdobje je specifično, saj je novembra 2015 začel poskusno obratovati Regijski center za ravnanje z odpadki (RCERO) Ljubljana, ki bo s 1. januarjem 2016 začel postopoma sprejemati odpadke iz občin pristopnic, kjer javno podjetje Snaga ni izvajalec javne službe zbiranja odpadkov. Javno podjetje Snaga bo tako za vse občine pristopnice (skupaj jih je 37) zagotavljalo storitve obveznih občinskih gospodarskih javnih služb obdelave določenih vrst komunalnih odpadkov in odlaganja ostankov predelave ter odstranjevanja komunalnih odpadkov. Kljub temu, da so nove predračunske cene ravnanja z odpadki nekoliko višje od veljavnih potrjenih cen, se bo strošek na gospodinjstvo spremenil zgolj minimalno: od  -1,0 do +2,7 odstotka. Na minimalno povišanje oziroma v nekaterih primerih celo znižanje stroška ravnanja z odpadki vpliva znatno boljša snovna izraba odpadkov: po obdelavi preostanka odpadkov v objektih in napravah RCERO Ljubljana bo na odlagališče Barje odloženih le 4,9 odstotka preostanka odpadkov.</w:t>
      </w:r>
    </w:p>
    <w:p w:rsidR="00883656" w:rsidRPr="00D53122" w:rsidRDefault="00883656" w:rsidP="00883656">
      <w:pPr>
        <w:jc w:val="both"/>
        <w:rPr>
          <w:rFonts w:ascii="Tahoma" w:eastAsia="Times New Roman" w:hAnsi="Tahoma" w:cs="Tahoma"/>
          <w:bCs/>
        </w:rPr>
      </w:pPr>
    </w:p>
    <w:p w:rsidR="00883656" w:rsidRDefault="00883656" w:rsidP="00883656">
      <w:pPr>
        <w:jc w:val="both"/>
        <w:rPr>
          <w:rFonts w:ascii="Tahoma" w:eastAsia="Times New Roman" w:hAnsi="Tahoma" w:cs="Tahoma"/>
          <w:bCs/>
        </w:rPr>
      </w:pPr>
      <w:r w:rsidRPr="00883656">
        <w:rPr>
          <w:rFonts w:ascii="Tahoma" w:eastAsia="Times New Roman" w:hAnsi="Tahoma" w:cs="Tahoma"/>
          <w:bCs/>
        </w:rPr>
        <w:t>Za lažjo predstavo navajamo primerjavo povprečnega mesečnega stroška ravnanja z odpadki na gospodinjstvo (z vključenim DDV) za uporabnike v individualnih hišah in uporabnike v večstanovanjskih stavbah/blokih:</w:t>
      </w:r>
    </w:p>
    <w:p w:rsidR="00883656" w:rsidRPr="00883656" w:rsidRDefault="00883656" w:rsidP="00883656">
      <w:pPr>
        <w:jc w:val="both"/>
        <w:rPr>
          <w:rFonts w:eastAsia="Times New Roman" w:cs="Tahoma"/>
          <w:b/>
          <w:bCs/>
        </w:rPr>
      </w:pPr>
    </w:p>
    <w:tbl>
      <w:tblPr>
        <w:tblW w:w="9072" w:type="dxa"/>
        <w:tblInd w:w="65" w:type="dxa"/>
        <w:tblLayout w:type="fixed"/>
        <w:tblCellMar>
          <w:left w:w="70" w:type="dxa"/>
          <w:right w:w="70" w:type="dxa"/>
        </w:tblCellMar>
        <w:tblLook w:val="04A0" w:firstRow="1" w:lastRow="0" w:firstColumn="1" w:lastColumn="0" w:noHBand="0" w:noVBand="1"/>
      </w:tblPr>
      <w:tblGrid>
        <w:gridCol w:w="3455"/>
        <w:gridCol w:w="1405"/>
        <w:gridCol w:w="1404"/>
        <w:gridCol w:w="1404"/>
        <w:gridCol w:w="1404"/>
      </w:tblGrid>
      <w:tr w:rsidR="00883656" w:rsidRPr="00883656" w:rsidTr="00CD2ACA">
        <w:trPr>
          <w:trHeight w:val="255"/>
        </w:trPr>
        <w:tc>
          <w:tcPr>
            <w:tcW w:w="3455" w:type="dxa"/>
            <w:tcBorders>
              <w:top w:val="single" w:sz="8" w:space="0" w:color="808080" w:themeColor="background1" w:themeShade="80"/>
              <w:left w:val="single" w:sz="8" w:space="0" w:color="808080" w:themeColor="background1" w:themeShade="80"/>
              <w:bottom w:val="doub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883656" w:rsidRPr="00883656" w:rsidRDefault="00883656" w:rsidP="00883656">
            <w:pPr>
              <w:jc w:val="both"/>
              <w:rPr>
                <w:rFonts w:eastAsia="Times New Roman" w:cs="Tahoma"/>
                <w:b/>
                <w:bCs/>
              </w:rPr>
            </w:pPr>
            <w:r w:rsidRPr="00883656">
              <w:rPr>
                <w:rFonts w:eastAsia="Times New Roman" w:cs="Tahoma"/>
                <w:b/>
                <w:bCs/>
              </w:rPr>
              <w:t> </w:t>
            </w:r>
          </w:p>
        </w:tc>
        <w:tc>
          <w:tcPr>
            <w:tcW w:w="2809" w:type="dxa"/>
            <w:gridSpan w:val="2"/>
            <w:tcBorders>
              <w:top w:val="single" w:sz="8"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883656" w:rsidRPr="00883656" w:rsidRDefault="00883656" w:rsidP="00883656">
            <w:pPr>
              <w:jc w:val="both"/>
              <w:rPr>
                <w:rFonts w:eastAsia="Times New Roman" w:cs="Tahoma"/>
                <w:b/>
                <w:bCs/>
              </w:rPr>
            </w:pPr>
            <w:r w:rsidRPr="00883656">
              <w:rPr>
                <w:rFonts w:eastAsia="Times New Roman" w:cs="Tahoma"/>
                <w:b/>
                <w:bCs/>
              </w:rPr>
              <w:t>Večstanovanjska stavba, 202 gospodinjstvi</w:t>
            </w:r>
          </w:p>
        </w:tc>
        <w:tc>
          <w:tcPr>
            <w:tcW w:w="2808" w:type="dxa"/>
            <w:gridSpan w:val="2"/>
            <w:tcBorders>
              <w:top w:val="single" w:sz="8" w:space="0" w:color="808080" w:themeColor="background1" w:themeShade="80"/>
              <w:left w:val="single" w:sz="4" w:space="0" w:color="808080" w:themeColor="background1" w:themeShade="80"/>
              <w:bottom w:val="double" w:sz="4" w:space="0" w:color="808080" w:themeColor="background1" w:themeShade="80"/>
              <w:right w:val="single" w:sz="8" w:space="0" w:color="808080" w:themeColor="background1" w:themeShade="80"/>
            </w:tcBorders>
            <w:shd w:val="clear" w:color="auto" w:fill="D9D9D9" w:themeFill="background1" w:themeFillShade="D9"/>
            <w:vAlign w:val="center"/>
            <w:hideMark/>
          </w:tcPr>
          <w:p w:rsidR="00883656" w:rsidRPr="00883656" w:rsidRDefault="00883656" w:rsidP="00883656">
            <w:pPr>
              <w:jc w:val="both"/>
              <w:rPr>
                <w:rFonts w:eastAsia="Times New Roman" w:cs="Tahoma"/>
                <w:b/>
                <w:bCs/>
              </w:rPr>
            </w:pPr>
            <w:r w:rsidRPr="00883656">
              <w:rPr>
                <w:rFonts w:eastAsia="Times New Roman" w:cs="Tahoma"/>
                <w:b/>
                <w:bCs/>
              </w:rPr>
              <w:t>Hiša, 1 gospodinjstvo</w:t>
            </w:r>
          </w:p>
        </w:tc>
      </w:tr>
      <w:tr w:rsidR="00883656" w:rsidRPr="00883656" w:rsidTr="00CD2ACA">
        <w:trPr>
          <w:trHeight w:val="255"/>
        </w:trPr>
        <w:tc>
          <w:tcPr>
            <w:tcW w:w="3455" w:type="dxa"/>
            <w:tcBorders>
              <w:top w:val="doub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000000" w:fill="F2F2F2"/>
            <w:noWrap/>
            <w:vAlign w:val="center"/>
          </w:tcPr>
          <w:p w:rsidR="00883656" w:rsidRPr="00883656" w:rsidRDefault="00883656" w:rsidP="00883656">
            <w:pPr>
              <w:jc w:val="both"/>
              <w:rPr>
                <w:rFonts w:eastAsia="Times New Roman" w:cs="Tahoma"/>
                <w:b/>
                <w:bCs/>
              </w:rPr>
            </w:pPr>
          </w:p>
        </w:tc>
        <w:tc>
          <w:tcPr>
            <w:tcW w:w="140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vAlign w:val="center"/>
            <w:hideMark/>
          </w:tcPr>
          <w:p w:rsidR="00883656" w:rsidRPr="00883656" w:rsidRDefault="00883656" w:rsidP="00883656">
            <w:pPr>
              <w:jc w:val="both"/>
              <w:rPr>
                <w:rFonts w:eastAsia="Times New Roman" w:cs="Tahoma"/>
                <w:b/>
                <w:bCs/>
              </w:rPr>
            </w:pPr>
            <w:r w:rsidRPr="00883656">
              <w:rPr>
                <w:rFonts w:eastAsia="Times New Roman" w:cs="Tahoma"/>
                <w:b/>
                <w:bCs/>
              </w:rPr>
              <w:t>Velikost in št. zabojnikov</w:t>
            </w:r>
          </w:p>
        </w:tc>
        <w:tc>
          <w:tcPr>
            <w:tcW w:w="1404"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vAlign w:val="center"/>
            <w:hideMark/>
          </w:tcPr>
          <w:p w:rsidR="00E601B7" w:rsidRDefault="00883656" w:rsidP="00883656">
            <w:pPr>
              <w:jc w:val="both"/>
              <w:rPr>
                <w:rFonts w:eastAsia="Times New Roman" w:cs="Tahoma"/>
                <w:b/>
                <w:bCs/>
              </w:rPr>
            </w:pPr>
            <w:r w:rsidRPr="00883656">
              <w:rPr>
                <w:rFonts w:eastAsia="Times New Roman" w:cs="Tahoma"/>
                <w:b/>
                <w:bCs/>
              </w:rPr>
              <w:t>Povprečno št. praznjenj/</w:t>
            </w:r>
          </w:p>
          <w:p w:rsidR="00883656" w:rsidRPr="00883656" w:rsidRDefault="00883656" w:rsidP="00883656">
            <w:pPr>
              <w:jc w:val="both"/>
              <w:rPr>
                <w:rFonts w:eastAsia="Times New Roman" w:cs="Tahoma"/>
                <w:b/>
                <w:bCs/>
              </w:rPr>
            </w:pPr>
            <w:r w:rsidRPr="00883656">
              <w:rPr>
                <w:rFonts w:eastAsia="Times New Roman" w:cs="Tahoma"/>
                <w:b/>
                <w:bCs/>
              </w:rPr>
              <w:t xml:space="preserve">mesec                          </w:t>
            </w:r>
          </w:p>
        </w:tc>
        <w:tc>
          <w:tcPr>
            <w:tcW w:w="1404"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vAlign w:val="center"/>
            <w:hideMark/>
          </w:tcPr>
          <w:p w:rsidR="00883656" w:rsidRPr="00883656" w:rsidRDefault="00883656" w:rsidP="00883656">
            <w:pPr>
              <w:jc w:val="both"/>
              <w:rPr>
                <w:rFonts w:eastAsia="Times New Roman" w:cs="Tahoma"/>
                <w:b/>
                <w:bCs/>
              </w:rPr>
            </w:pPr>
            <w:r w:rsidRPr="00883656">
              <w:rPr>
                <w:rFonts w:eastAsia="Times New Roman" w:cs="Tahoma"/>
                <w:b/>
                <w:bCs/>
              </w:rPr>
              <w:t>Velikost in št. zabojnikov</w:t>
            </w:r>
          </w:p>
        </w:tc>
        <w:tc>
          <w:tcPr>
            <w:tcW w:w="1404"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000000" w:fill="F2F2F2"/>
            <w:vAlign w:val="center"/>
            <w:hideMark/>
          </w:tcPr>
          <w:p w:rsidR="00E601B7" w:rsidRDefault="00883656" w:rsidP="00883656">
            <w:pPr>
              <w:jc w:val="both"/>
              <w:rPr>
                <w:rFonts w:eastAsia="Times New Roman" w:cs="Tahoma"/>
                <w:b/>
                <w:bCs/>
              </w:rPr>
            </w:pPr>
            <w:r w:rsidRPr="00883656">
              <w:rPr>
                <w:rFonts w:eastAsia="Times New Roman" w:cs="Tahoma"/>
                <w:b/>
                <w:bCs/>
              </w:rPr>
              <w:t>Povprečno št. praznjenj/</w:t>
            </w:r>
          </w:p>
          <w:p w:rsidR="00883656" w:rsidRPr="00883656" w:rsidRDefault="00883656" w:rsidP="00883656">
            <w:pPr>
              <w:jc w:val="both"/>
              <w:rPr>
                <w:rFonts w:eastAsia="Times New Roman" w:cs="Tahoma"/>
                <w:b/>
                <w:bCs/>
              </w:rPr>
            </w:pPr>
            <w:r w:rsidRPr="00883656">
              <w:rPr>
                <w:rFonts w:eastAsia="Times New Roman" w:cs="Tahoma"/>
                <w:b/>
                <w:bCs/>
              </w:rPr>
              <w:t xml:space="preserve">mesec                          </w:t>
            </w:r>
          </w:p>
        </w:tc>
      </w:tr>
      <w:tr w:rsidR="00883656" w:rsidRPr="00883656" w:rsidTr="00CD2ACA">
        <w:trPr>
          <w:trHeight w:val="255"/>
        </w:trPr>
        <w:tc>
          <w:tcPr>
            <w:tcW w:w="345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Zabojniki za MKO (preostanek odpadkov)</w:t>
            </w:r>
          </w:p>
        </w:tc>
        <w:tc>
          <w:tcPr>
            <w:tcW w:w="1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770 l/10</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4,35</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120 l/1</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1,45</w:t>
            </w:r>
          </w:p>
        </w:tc>
      </w:tr>
      <w:tr w:rsidR="00883656" w:rsidRPr="00883656" w:rsidTr="00CD2ACA">
        <w:trPr>
          <w:trHeight w:val="255"/>
        </w:trPr>
        <w:tc>
          <w:tcPr>
            <w:tcW w:w="3455" w:type="dxa"/>
            <w:tcBorders>
              <w:top w:val="single" w:sz="4" w:space="0" w:color="808080" w:themeColor="background1" w:themeShade="80"/>
              <w:left w:val="single" w:sz="8" w:space="0" w:color="808080" w:themeColor="background1" w:themeShade="80"/>
              <w:bottom w:val="doub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Zabojniki za BIO</w:t>
            </w:r>
          </w:p>
        </w:tc>
        <w:tc>
          <w:tcPr>
            <w:tcW w:w="140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240 l/4</w:t>
            </w:r>
          </w:p>
        </w:tc>
        <w:tc>
          <w:tcPr>
            <w:tcW w:w="1404"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4,35</w:t>
            </w:r>
          </w:p>
        </w:tc>
        <w:tc>
          <w:tcPr>
            <w:tcW w:w="1404"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120 l/1</w:t>
            </w:r>
          </w:p>
        </w:tc>
        <w:tc>
          <w:tcPr>
            <w:tcW w:w="1404"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8"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3,81</w:t>
            </w:r>
          </w:p>
        </w:tc>
      </w:tr>
      <w:tr w:rsidR="00883656" w:rsidRPr="00883656" w:rsidTr="00CD2ACA">
        <w:trPr>
          <w:trHeight w:val="255"/>
        </w:trPr>
        <w:tc>
          <w:tcPr>
            <w:tcW w:w="3455" w:type="dxa"/>
            <w:vMerge w:val="restart"/>
            <w:tcBorders>
              <w:top w:val="doub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000000" w:fill="F2F2F2"/>
            <w:vAlign w:val="center"/>
          </w:tcPr>
          <w:p w:rsidR="00883656" w:rsidRPr="00883656" w:rsidRDefault="00883656" w:rsidP="00883656">
            <w:pPr>
              <w:jc w:val="both"/>
              <w:rPr>
                <w:rFonts w:eastAsia="Times New Roman" w:cs="Tahoma"/>
                <w:b/>
                <w:bCs/>
              </w:rPr>
            </w:pPr>
          </w:p>
        </w:tc>
        <w:tc>
          <w:tcPr>
            <w:tcW w:w="2809" w:type="dxa"/>
            <w:gridSpan w:val="2"/>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vAlign w:val="center"/>
            <w:hideMark/>
          </w:tcPr>
          <w:p w:rsidR="00883656" w:rsidRPr="00883656" w:rsidRDefault="00883656" w:rsidP="00883656">
            <w:pPr>
              <w:jc w:val="both"/>
              <w:rPr>
                <w:rFonts w:eastAsia="Times New Roman" w:cs="Tahoma"/>
                <w:b/>
                <w:bCs/>
              </w:rPr>
            </w:pPr>
            <w:r w:rsidRPr="00883656">
              <w:rPr>
                <w:rFonts w:eastAsia="Times New Roman" w:cs="Tahoma"/>
                <w:b/>
                <w:bCs/>
              </w:rPr>
              <w:t>Strošek v EUR/mesec</w:t>
            </w:r>
          </w:p>
        </w:tc>
        <w:tc>
          <w:tcPr>
            <w:tcW w:w="2808" w:type="dxa"/>
            <w:gridSpan w:val="2"/>
            <w:tcBorders>
              <w:top w:val="doub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000000" w:fill="F2F2F2"/>
            <w:vAlign w:val="center"/>
            <w:hideMark/>
          </w:tcPr>
          <w:p w:rsidR="00883656" w:rsidRPr="00883656" w:rsidRDefault="00883656" w:rsidP="00883656">
            <w:pPr>
              <w:jc w:val="both"/>
              <w:rPr>
                <w:rFonts w:eastAsia="Times New Roman" w:cs="Tahoma"/>
                <w:b/>
                <w:bCs/>
              </w:rPr>
            </w:pPr>
            <w:r w:rsidRPr="00883656">
              <w:rPr>
                <w:rFonts w:eastAsia="Times New Roman" w:cs="Tahoma"/>
                <w:b/>
                <w:bCs/>
              </w:rPr>
              <w:t>Strošek v EUR/mesec</w:t>
            </w:r>
          </w:p>
        </w:tc>
      </w:tr>
      <w:tr w:rsidR="00883656" w:rsidRPr="00883656" w:rsidTr="00CD2ACA">
        <w:trPr>
          <w:trHeight w:val="255"/>
        </w:trPr>
        <w:tc>
          <w:tcPr>
            <w:tcW w:w="3455" w:type="dxa"/>
            <w:vMerge/>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vAlign w:val="center"/>
            <w:hideMark/>
          </w:tcPr>
          <w:p w:rsidR="00883656" w:rsidRPr="00883656" w:rsidRDefault="00883656" w:rsidP="00883656">
            <w:pPr>
              <w:jc w:val="both"/>
              <w:rPr>
                <w:rFonts w:eastAsia="Times New Roman" w:cs="Tahoma"/>
                <w:b/>
                <w:bCs/>
              </w:rPr>
            </w:pPr>
          </w:p>
        </w:tc>
        <w:tc>
          <w:tcPr>
            <w:tcW w:w="1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noWrap/>
            <w:vAlign w:val="center"/>
            <w:hideMark/>
          </w:tcPr>
          <w:p w:rsidR="00883656" w:rsidRPr="00883656" w:rsidRDefault="00BC6FE1" w:rsidP="00883656">
            <w:pPr>
              <w:jc w:val="both"/>
              <w:rPr>
                <w:rFonts w:eastAsia="Times New Roman" w:cs="Tahoma"/>
                <w:b/>
                <w:bCs/>
              </w:rPr>
            </w:pPr>
            <w:r>
              <w:rPr>
                <w:rFonts w:eastAsia="Times New Roman" w:cs="Tahoma"/>
                <w:b/>
                <w:bCs/>
              </w:rPr>
              <w:t>P</w:t>
            </w:r>
            <w:r w:rsidR="00883656" w:rsidRPr="00883656">
              <w:rPr>
                <w:rFonts w:eastAsia="Times New Roman" w:cs="Tahoma"/>
                <w:b/>
                <w:bCs/>
              </w:rPr>
              <w:t>otrjena cena od 1.</w:t>
            </w:r>
            <w:r w:rsidR="004D392B">
              <w:rPr>
                <w:rFonts w:eastAsia="Times New Roman" w:cs="Tahoma"/>
                <w:b/>
                <w:bCs/>
              </w:rPr>
              <w:t xml:space="preserve"> </w:t>
            </w:r>
            <w:r w:rsidR="00883656" w:rsidRPr="00883656">
              <w:rPr>
                <w:rFonts w:eastAsia="Times New Roman" w:cs="Tahoma"/>
                <w:b/>
                <w:bCs/>
              </w:rPr>
              <w:t>6.</w:t>
            </w:r>
            <w:r w:rsidR="004D392B">
              <w:rPr>
                <w:rFonts w:eastAsia="Times New Roman" w:cs="Tahoma"/>
                <w:b/>
                <w:bCs/>
              </w:rPr>
              <w:t xml:space="preserve"> </w:t>
            </w:r>
            <w:r w:rsidR="00883656" w:rsidRPr="00883656">
              <w:rPr>
                <w:rFonts w:eastAsia="Times New Roman" w:cs="Tahoma"/>
                <w:b/>
                <w:bCs/>
              </w:rPr>
              <w:t>2015 dalje</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noWrap/>
            <w:vAlign w:val="center"/>
            <w:hideMark/>
          </w:tcPr>
          <w:p w:rsidR="00883656" w:rsidRPr="00883656" w:rsidRDefault="00883656" w:rsidP="00883656">
            <w:pPr>
              <w:jc w:val="both"/>
              <w:rPr>
                <w:rFonts w:eastAsia="Times New Roman" w:cs="Tahoma"/>
                <w:b/>
                <w:bCs/>
              </w:rPr>
            </w:pPr>
            <w:r>
              <w:rPr>
                <w:rFonts w:eastAsia="Times New Roman" w:cs="Tahoma"/>
                <w:b/>
                <w:bCs/>
              </w:rPr>
              <w:t xml:space="preserve">Potrjena </w:t>
            </w:r>
            <w:r w:rsidRPr="00883656">
              <w:rPr>
                <w:rFonts w:eastAsia="Times New Roman" w:cs="Tahoma"/>
                <w:b/>
                <w:bCs/>
              </w:rPr>
              <w:t>cena od 1.</w:t>
            </w:r>
            <w:r w:rsidR="004D392B">
              <w:rPr>
                <w:rFonts w:eastAsia="Times New Roman" w:cs="Tahoma"/>
                <w:b/>
                <w:bCs/>
              </w:rPr>
              <w:t xml:space="preserve"> </w:t>
            </w:r>
            <w:r w:rsidRPr="00883656">
              <w:rPr>
                <w:rFonts w:eastAsia="Times New Roman" w:cs="Tahoma"/>
                <w:b/>
                <w:bCs/>
              </w:rPr>
              <w:t>1.</w:t>
            </w:r>
            <w:r w:rsidR="004D392B">
              <w:rPr>
                <w:rFonts w:eastAsia="Times New Roman" w:cs="Tahoma"/>
                <w:b/>
                <w:bCs/>
              </w:rPr>
              <w:t xml:space="preserve"> </w:t>
            </w:r>
            <w:r w:rsidRPr="00883656">
              <w:rPr>
                <w:rFonts w:eastAsia="Times New Roman" w:cs="Tahoma"/>
                <w:b/>
                <w:bCs/>
              </w:rPr>
              <w:t>2016 dalje</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2F2F2"/>
            <w:noWrap/>
            <w:vAlign w:val="center"/>
            <w:hideMark/>
          </w:tcPr>
          <w:p w:rsidR="00883656" w:rsidRPr="00883656" w:rsidRDefault="00BC6FE1" w:rsidP="00883656">
            <w:pPr>
              <w:jc w:val="both"/>
              <w:rPr>
                <w:rFonts w:eastAsia="Times New Roman" w:cs="Tahoma"/>
                <w:b/>
                <w:bCs/>
              </w:rPr>
            </w:pPr>
            <w:r>
              <w:rPr>
                <w:rFonts w:eastAsia="Times New Roman" w:cs="Tahoma"/>
                <w:b/>
                <w:bCs/>
              </w:rPr>
              <w:t>P</w:t>
            </w:r>
            <w:r w:rsidR="00883656" w:rsidRPr="00883656">
              <w:rPr>
                <w:rFonts w:eastAsia="Times New Roman" w:cs="Tahoma"/>
                <w:b/>
                <w:bCs/>
              </w:rPr>
              <w:t>otrjena cena od 1.</w:t>
            </w:r>
            <w:r w:rsidR="004D392B">
              <w:rPr>
                <w:rFonts w:eastAsia="Times New Roman" w:cs="Tahoma"/>
                <w:b/>
                <w:bCs/>
              </w:rPr>
              <w:t xml:space="preserve"> </w:t>
            </w:r>
            <w:r w:rsidR="00883656" w:rsidRPr="00883656">
              <w:rPr>
                <w:rFonts w:eastAsia="Times New Roman" w:cs="Tahoma"/>
                <w:b/>
                <w:bCs/>
              </w:rPr>
              <w:t>6.</w:t>
            </w:r>
            <w:r w:rsidR="004D392B">
              <w:rPr>
                <w:rFonts w:eastAsia="Times New Roman" w:cs="Tahoma"/>
                <w:b/>
                <w:bCs/>
              </w:rPr>
              <w:t xml:space="preserve"> </w:t>
            </w:r>
            <w:r w:rsidR="00883656" w:rsidRPr="00883656">
              <w:rPr>
                <w:rFonts w:eastAsia="Times New Roman" w:cs="Tahoma"/>
                <w:b/>
                <w:bCs/>
              </w:rPr>
              <w:t>2015 dalje</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000000" w:fill="F2F2F2"/>
            <w:noWrap/>
            <w:vAlign w:val="center"/>
            <w:hideMark/>
          </w:tcPr>
          <w:p w:rsidR="00883656" w:rsidRPr="00883656" w:rsidRDefault="00883656" w:rsidP="00883656">
            <w:pPr>
              <w:jc w:val="both"/>
              <w:rPr>
                <w:rFonts w:eastAsia="Times New Roman" w:cs="Tahoma"/>
                <w:b/>
                <w:bCs/>
              </w:rPr>
            </w:pPr>
            <w:r>
              <w:rPr>
                <w:rFonts w:eastAsia="Times New Roman" w:cs="Tahoma"/>
                <w:b/>
                <w:bCs/>
              </w:rPr>
              <w:t>Potrjena cena</w:t>
            </w:r>
            <w:r w:rsidRPr="00883656">
              <w:rPr>
                <w:rFonts w:eastAsia="Times New Roman" w:cs="Tahoma"/>
                <w:b/>
                <w:bCs/>
              </w:rPr>
              <w:t xml:space="preserve"> od 1.</w:t>
            </w:r>
            <w:r w:rsidR="004D392B">
              <w:rPr>
                <w:rFonts w:eastAsia="Times New Roman" w:cs="Tahoma"/>
                <w:b/>
                <w:bCs/>
              </w:rPr>
              <w:t xml:space="preserve"> </w:t>
            </w:r>
            <w:r w:rsidRPr="00883656">
              <w:rPr>
                <w:rFonts w:eastAsia="Times New Roman" w:cs="Tahoma"/>
                <w:b/>
                <w:bCs/>
              </w:rPr>
              <w:t>1.</w:t>
            </w:r>
            <w:r w:rsidR="004D392B">
              <w:rPr>
                <w:rFonts w:eastAsia="Times New Roman" w:cs="Tahoma"/>
                <w:b/>
                <w:bCs/>
              </w:rPr>
              <w:t xml:space="preserve"> </w:t>
            </w:r>
            <w:r w:rsidRPr="00883656">
              <w:rPr>
                <w:rFonts w:eastAsia="Times New Roman" w:cs="Tahoma"/>
                <w:b/>
                <w:bCs/>
              </w:rPr>
              <w:t>2016 dalje</w:t>
            </w:r>
          </w:p>
        </w:tc>
      </w:tr>
      <w:tr w:rsidR="00883656" w:rsidRPr="00883656" w:rsidTr="00CD2ACA">
        <w:trPr>
          <w:trHeight w:val="255"/>
        </w:trPr>
        <w:tc>
          <w:tcPr>
            <w:tcW w:w="345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000000" w:fill="FFFFFF"/>
            <w:vAlign w:val="center"/>
            <w:hideMark/>
          </w:tcPr>
          <w:p w:rsidR="00883656" w:rsidRPr="00883656" w:rsidRDefault="00883656" w:rsidP="00883656">
            <w:pPr>
              <w:jc w:val="both"/>
              <w:rPr>
                <w:rFonts w:eastAsia="Times New Roman" w:cs="Tahoma"/>
                <w:b/>
                <w:bCs/>
              </w:rPr>
            </w:pPr>
            <w:r w:rsidRPr="00883656">
              <w:rPr>
                <w:rFonts w:eastAsia="Times New Roman" w:cs="Tahoma"/>
                <w:b/>
                <w:bCs/>
              </w:rPr>
              <w:t>Strošek/blok oz. hišo</w:t>
            </w:r>
          </w:p>
        </w:tc>
        <w:tc>
          <w:tcPr>
            <w:tcW w:w="14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vAlign w:val="center"/>
          </w:tcPr>
          <w:p w:rsidR="00883656" w:rsidRPr="00883656" w:rsidRDefault="00883656" w:rsidP="00883656">
            <w:pPr>
              <w:jc w:val="both"/>
              <w:rPr>
                <w:rFonts w:eastAsia="Times New Roman" w:cs="Tahoma"/>
                <w:b/>
                <w:bCs/>
              </w:rPr>
            </w:pPr>
            <w:r w:rsidRPr="00883656">
              <w:rPr>
                <w:rFonts w:eastAsia="Times New Roman" w:cs="Tahoma"/>
                <w:b/>
                <w:bCs/>
              </w:rPr>
              <w:t>1.415,85</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vAlign w:val="center"/>
          </w:tcPr>
          <w:p w:rsidR="00883656" w:rsidRPr="00883656" w:rsidRDefault="00883656" w:rsidP="00883656">
            <w:pPr>
              <w:jc w:val="both"/>
              <w:rPr>
                <w:rFonts w:eastAsia="Times New Roman" w:cs="Tahoma"/>
                <w:b/>
                <w:bCs/>
              </w:rPr>
            </w:pPr>
            <w:r w:rsidRPr="00883656">
              <w:rPr>
                <w:rFonts w:eastAsia="Times New Roman" w:cs="Tahoma"/>
                <w:b/>
                <w:bCs/>
              </w:rPr>
              <w:t>1.450,56</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000000" w:fill="FFFFFF"/>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11,07</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000000" w:fill="FFFFFF"/>
            <w:noWrap/>
            <w:vAlign w:val="center"/>
          </w:tcPr>
          <w:p w:rsidR="00883656" w:rsidRPr="00883656" w:rsidRDefault="00883656" w:rsidP="00883656">
            <w:pPr>
              <w:jc w:val="both"/>
              <w:rPr>
                <w:rFonts w:eastAsia="Times New Roman" w:cs="Tahoma"/>
                <w:b/>
                <w:bCs/>
              </w:rPr>
            </w:pPr>
            <w:r w:rsidRPr="00883656">
              <w:rPr>
                <w:rFonts w:eastAsia="Times New Roman" w:cs="Tahoma"/>
                <w:b/>
                <w:bCs/>
              </w:rPr>
              <w:t>10,96</w:t>
            </w:r>
            <w:r w:rsidR="004D392B">
              <w:rPr>
                <w:rFonts w:eastAsia="Times New Roman" w:cs="Tahoma"/>
                <w:b/>
                <w:bCs/>
              </w:rPr>
              <w:t xml:space="preserve"> </w:t>
            </w:r>
          </w:p>
        </w:tc>
      </w:tr>
      <w:tr w:rsidR="00883656" w:rsidRPr="00883656" w:rsidTr="00CD2ACA">
        <w:trPr>
          <w:trHeight w:val="255"/>
        </w:trPr>
        <w:tc>
          <w:tcPr>
            <w:tcW w:w="3455" w:type="dxa"/>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vAlign w:val="center"/>
            <w:hideMark/>
          </w:tcPr>
          <w:p w:rsidR="00883656" w:rsidRPr="00883656" w:rsidRDefault="00883656" w:rsidP="00883656">
            <w:pPr>
              <w:jc w:val="both"/>
              <w:rPr>
                <w:rFonts w:eastAsia="Times New Roman" w:cs="Tahoma"/>
                <w:b/>
                <w:bCs/>
              </w:rPr>
            </w:pPr>
            <w:r w:rsidRPr="00883656">
              <w:rPr>
                <w:rFonts w:eastAsia="Times New Roman" w:cs="Tahoma"/>
                <w:b/>
                <w:bCs/>
              </w:rPr>
              <w:t>Strošek/gospodinjstvo</w:t>
            </w:r>
          </w:p>
        </w:tc>
        <w:tc>
          <w:tcPr>
            <w:tcW w:w="1405"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883656" w:rsidRPr="00883656" w:rsidRDefault="00883656" w:rsidP="00883656">
            <w:pPr>
              <w:jc w:val="both"/>
              <w:rPr>
                <w:rFonts w:eastAsia="Times New Roman" w:cs="Tahoma"/>
                <w:b/>
                <w:bCs/>
              </w:rPr>
            </w:pPr>
            <w:r w:rsidRPr="00883656">
              <w:rPr>
                <w:rFonts w:eastAsia="Times New Roman" w:cs="Tahoma"/>
                <w:b/>
                <w:bCs/>
              </w:rPr>
              <w:t>7,01</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883656" w:rsidRPr="00883656" w:rsidRDefault="00883656" w:rsidP="00883656">
            <w:pPr>
              <w:jc w:val="both"/>
              <w:rPr>
                <w:rFonts w:eastAsia="Times New Roman" w:cs="Tahoma"/>
                <w:b/>
                <w:bCs/>
              </w:rPr>
            </w:pPr>
            <w:r w:rsidRPr="00883656">
              <w:rPr>
                <w:rFonts w:eastAsia="Times New Roman" w:cs="Tahoma"/>
                <w:b/>
                <w:bCs/>
              </w:rPr>
              <w:t>7,18</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hideMark/>
          </w:tcPr>
          <w:p w:rsidR="00883656" w:rsidRPr="00883656" w:rsidRDefault="00883656" w:rsidP="00883656">
            <w:pPr>
              <w:jc w:val="both"/>
              <w:rPr>
                <w:rFonts w:eastAsia="Times New Roman" w:cs="Tahoma"/>
                <w:b/>
                <w:bCs/>
              </w:rPr>
            </w:pPr>
            <w:r w:rsidRPr="00883656">
              <w:rPr>
                <w:rFonts w:eastAsia="Times New Roman" w:cs="Tahoma"/>
                <w:b/>
                <w:bCs/>
              </w:rPr>
              <w:t>11,07</w:t>
            </w:r>
            <w:r w:rsidR="004D392B">
              <w:rPr>
                <w:rFonts w:eastAsia="Times New Roman" w:cs="Tahoma"/>
                <w:b/>
                <w:bCs/>
              </w:rPr>
              <w:t xml:space="preserve"> </w:t>
            </w:r>
          </w:p>
        </w:tc>
        <w:tc>
          <w:tcPr>
            <w:tcW w:w="1404" w:type="dxa"/>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3656" w:rsidRPr="00883656" w:rsidRDefault="00883656" w:rsidP="00883656">
            <w:pPr>
              <w:jc w:val="both"/>
              <w:rPr>
                <w:rFonts w:eastAsia="Times New Roman" w:cs="Tahoma"/>
                <w:b/>
                <w:bCs/>
              </w:rPr>
            </w:pPr>
            <w:r w:rsidRPr="00883656">
              <w:rPr>
                <w:rFonts w:eastAsia="Times New Roman" w:cs="Tahoma"/>
                <w:b/>
                <w:bCs/>
              </w:rPr>
              <w:t>10,96</w:t>
            </w:r>
            <w:r w:rsidR="004D392B">
              <w:rPr>
                <w:rFonts w:eastAsia="Times New Roman" w:cs="Tahoma"/>
                <w:b/>
                <w:bCs/>
              </w:rPr>
              <w:t xml:space="preserve"> </w:t>
            </w:r>
          </w:p>
        </w:tc>
      </w:tr>
    </w:tbl>
    <w:p w:rsidR="00370497" w:rsidRPr="00883656" w:rsidRDefault="00370497" w:rsidP="001319AE">
      <w:pPr>
        <w:jc w:val="both"/>
        <w:rPr>
          <w:rFonts w:eastAsia="Times New Roman" w:cs="Tahoma"/>
          <w:b/>
          <w:bCs/>
        </w:rPr>
      </w:pPr>
    </w:p>
    <w:p w:rsidR="00B71660" w:rsidRPr="00AE312F" w:rsidRDefault="00B71660" w:rsidP="001319AE">
      <w:pPr>
        <w:autoSpaceDE w:val="0"/>
        <w:autoSpaceDN w:val="0"/>
        <w:adjustRightInd w:val="0"/>
        <w:jc w:val="both"/>
        <w:rPr>
          <w:rFonts w:ascii="Tahoma" w:eastAsia="Calibri" w:hAnsi="Tahoma" w:cs="Tahoma"/>
          <w:color w:val="FF0000"/>
        </w:rPr>
      </w:pPr>
    </w:p>
    <w:p w:rsidR="00B71660" w:rsidRPr="00B71660" w:rsidRDefault="00B71660" w:rsidP="001319AE">
      <w:pPr>
        <w:jc w:val="both"/>
        <w:rPr>
          <w:rFonts w:ascii="Tahoma" w:eastAsia="Calibri" w:hAnsi="Tahoma" w:cs="Tahoma"/>
        </w:rPr>
      </w:pPr>
      <w:r w:rsidRPr="00B71660">
        <w:rPr>
          <w:rFonts w:ascii="Tahoma" w:eastAsia="Calibri" w:hAnsi="Tahoma" w:cs="Tahoma"/>
        </w:rPr>
        <w:t xml:space="preserve">Vsi sklepi </w:t>
      </w:r>
      <w:r w:rsidR="00883656">
        <w:rPr>
          <w:rFonts w:ascii="Tahoma" w:eastAsia="Calibri" w:hAnsi="Tahoma" w:cs="Tahoma"/>
        </w:rPr>
        <w:t xml:space="preserve">na sejah </w:t>
      </w:r>
      <w:r w:rsidRPr="00B71660">
        <w:rPr>
          <w:rFonts w:ascii="Tahoma" w:eastAsia="Calibri" w:hAnsi="Tahoma" w:cs="Tahoma"/>
        </w:rPr>
        <w:t>so bili sprejeti soglasno.</w:t>
      </w:r>
    </w:p>
    <w:p w:rsidR="00B71660" w:rsidRPr="00B71660" w:rsidRDefault="00B71660" w:rsidP="001319AE">
      <w:pPr>
        <w:jc w:val="both"/>
        <w:rPr>
          <w:rFonts w:ascii="Tahoma" w:eastAsia="Times New Roman" w:hAnsi="Tahoma" w:cs="Tahoma"/>
          <w:b/>
          <w:bCs/>
        </w:rPr>
      </w:pPr>
    </w:p>
    <w:p w:rsidR="00B71660" w:rsidRPr="00B71660" w:rsidRDefault="00B71660" w:rsidP="001319AE">
      <w:pPr>
        <w:jc w:val="both"/>
        <w:rPr>
          <w:rFonts w:ascii="Tahoma" w:eastAsia="Times New Roman" w:hAnsi="Tahoma" w:cs="Tahoma"/>
          <w:b/>
          <w:bCs/>
        </w:rPr>
      </w:pPr>
    </w:p>
    <w:p w:rsidR="00B71660" w:rsidRPr="00B71660" w:rsidRDefault="00B71660" w:rsidP="001319AE">
      <w:pPr>
        <w:jc w:val="both"/>
        <w:rPr>
          <w:rFonts w:ascii="Tahoma" w:eastAsia="Times New Roman" w:hAnsi="Tahoma" w:cs="Tahoma"/>
        </w:rPr>
      </w:pPr>
      <w:r w:rsidRPr="00B71660">
        <w:rPr>
          <w:rFonts w:ascii="Tahoma" w:eastAsia="Times New Roman" w:hAnsi="Tahoma" w:cs="Tahoma"/>
          <w:bCs/>
        </w:rPr>
        <w:t xml:space="preserve"> </w:t>
      </w:r>
    </w:p>
    <w:p w:rsidR="008D26B2" w:rsidRPr="00AB56F7" w:rsidRDefault="008D26B2" w:rsidP="001319AE">
      <w:pPr>
        <w:pStyle w:val="Default"/>
        <w:jc w:val="both"/>
      </w:pPr>
    </w:p>
    <w:sectPr w:rsidR="008D26B2" w:rsidRPr="00AB56F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29" w:rsidRDefault="00C50629" w:rsidP="00B71660">
      <w:r>
        <w:separator/>
      </w:r>
    </w:p>
  </w:endnote>
  <w:endnote w:type="continuationSeparator" w:id="0">
    <w:p w:rsidR="00C50629" w:rsidRDefault="00C50629" w:rsidP="00B7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29" w:rsidRDefault="00C50629" w:rsidP="00B71660">
      <w:r>
        <w:separator/>
      </w:r>
    </w:p>
  </w:footnote>
  <w:footnote w:type="continuationSeparator" w:id="0">
    <w:p w:rsidR="00C50629" w:rsidRDefault="00C50629" w:rsidP="00B7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60" w:rsidRDefault="00B7166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26320"/>
    <w:multiLevelType w:val="hybridMultilevel"/>
    <w:tmpl w:val="4D287E00"/>
    <w:lvl w:ilvl="0" w:tplc="586A4806">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2FA4BE3"/>
    <w:multiLevelType w:val="hybridMultilevel"/>
    <w:tmpl w:val="576088C0"/>
    <w:lvl w:ilvl="0" w:tplc="9E1AE386">
      <w:start w:val="1"/>
      <w:numFmt w:val="decimal"/>
      <w:pStyle w:val="predlogsklepa-tevilen"/>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3B7D67E7"/>
    <w:multiLevelType w:val="multilevel"/>
    <w:tmpl w:val="D31C81F2"/>
    <w:lvl w:ilvl="0">
      <w:start w:val="1"/>
      <w:numFmt w:val="decimal"/>
      <w:pStyle w:val="002toka"/>
      <w:lvlText w:val="%1."/>
      <w:lvlJc w:val="left"/>
      <w:pPr>
        <w:ind w:left="360" w:hanging="360"/>
      </w:pPr>
      <w:rPr>
        <w:rFonts w:ascii="Tahoma" w:hAnsi="Tahoma" w:hint="default"/>
        <w:b w:val="0"/>
        <w:i w:val="0"/>
        <w:sz w:val="22"/>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7A"/>
    <w:rsid w:val="00070B10"/>
    <w:rsid w:val="000830D7"/>
    <w:rsid w:val="000900E6"/>
    <w:rsid w:val="00095626"/>
    <w:rsid w:val="00095F07"/>
    <w:rsid w:val="0012053A"/>
    <w:rsid w:val="00131786"/>
    <w:rsid w:val="001319AE"/>
    <w:rsid w:val="00133B09"/>
    <w:rsid w:val="001411C5"/>
    <w:rsid w:val="00192F5E"/>
    <w:rsid w:val="00195EBC"/>
    <w:rsid w:val="001A0FAF"/>
    <w:rsid w:val="001E498D"/>
    <w:rsid w:val="002250CC"/>
    <w:rsid w:val="00244DA3"/>
    <w:rsid w:val="00275749"/>
    <w:rsid w:val="00275B6E"/>
    <w:rsid w:val="002F0108"/>
    <w:rsid w:val="00321F7A"/>
    <w:rsid w:val="00350311"/>
    <w:rsid w:val="00366FC3"/>
    <w:rsid w:val="00370497"/>
    <w:rsid w:val="003974E3"/>
    <w:rsid w:val="003D2151"/>
    <w:rsid w:val="003F1F91"/>
    <w:rsid w:val="00454411"/>
    <w:rsid w:val="00471326"/>
    <w:rsid w:val="004D31F2"/>
    <w:rsid w:val="004D392B"/>
    <w:rsid w:val="00506AB6"/>
    <w:rsid w:val="00533240"/>
    <w:rsid w:val="00581684"/>
    <w:rsid w:val="00591269"/>
    <w:rsid w:val="005D0AE3"/>
    <w:rsid w:val="005E048F"/>
    <w:rsid w:val="0060442F"/>
    <w:rsid w:val="006739C5"/>
    <w:rsid w:val="00676F07"/>
    <w:rsid w:val="006A5648"/>
    <w:rsid w:val="006C17CE"/>
    <w:rsid w:val="006D489F"/>
    <w:rsid w:val="006D590E"/>
    <w:rsid w:val="00700E34"/>
    <w:rsid w:val="0073771F"/>
    <w:rsid w:val="00754A5D"/>
    <w:rsid w:val="007B693D"/>
    <w:rsid w:val="007F08DD"/>
    <w:rsid w:val="00803D17"/>
    <w:rsid w:val="0084347A"/>
    <w:rsid w:val="00883656"/>
    <w:rsid w:val="008B0DDC"/>
    <w:rsid w:val="008D26B2"/>
    <w:rsid w:val="00904763"/>
    <w:rsid w:val="00944EB9"/>
    <w:rsid w:val="00980A48"/>
    <w:rsid w:val="009B7ECD"/>
    <w:rsid w:val="00A34F1D"/>
    <w:rsid w:val="00A402A3"/>
    <w:rsid w:val="00A45AD0"/>
    <w:rsid w:val="00A554CE"/>
    <w:rsid w:val="00A61FEE"/>
    <w:rsid w:val="00AB56F7"/>
    <w:rsid w:val="00AE312F"/>
    <w:rsid w:val="00B46E47"/>
    <w:rsid w:val="00B62A41"/>
    <w:rsid w:val="00B71660"/>
    <w:rsid w:val="00B8703E"/>
    <w:rsid w:val="00BC6FE1"/>
    <w:rsid w:val="00BE2087"/>
    <w:rsid w:val="00BE6D5A"/>
    <w:rsid w:val="00C03BA4"/>
    <w:rsid w:val="00C50629"/>
    <w:rsid w:val="00C54318"/>
    <w:rsid w:val="00C70B28"/>
    <w:rsid w:val="00C811FD"/>
    <w:rsid w:val="00CA44E8"/>
    <w:rsid w:val="00D53122"/>
    <w:rsid w:val="00DA0C71"/>
    <w:rsid w:val="00E1362D"/>
    <w:rsid w:val="00E601B7"/>
    <w:rsid w:val="00E634D7"/>
    <w:rsid w:val="00E63E9A"/>
    <w:rsid w:val="00E66465"/>
    <w:rsid w:val="00EA222D"/>
    <w:rsid w:val="00EF6B09"/>
    <w:rsid w:val="00F477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5749"/>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21F7A"/>
    <w:pPr>
      <w:autoSpaceDE w:val="0"/>
      <w:autoSpaceDN w:val="0"/>
      <w:adjustRightInd w:val="0"/>
      <w:spacing w:after="0" w:line="240" w:lineRule="auto"/>
    </w:pPr>
    <w:rPr>
      <w:rFonts w:ascii="Tahoma" w:hAnsi="Tahoma" w:cs="Tahoma"/>
      <w:color w:val="000000"/>
      <w:sz w:val="24"/>
      <w:szCs w:val="24"/>
    </w:rPr>
  </w:style>
  <w:style w:type="paragraph" w:customStyle="1" w:styleId="predlogsklepa-tevilen">
    <w:name w:val="predlog sklepa - številčen"/>
    <w:basedOn w:val="Telobesedila3"/>
    <w:qFormat/>
    <w:rsid w:val="006739C5"/>
    <w:pPr>
      <w:numPr>
        <w:numId w:val="1"/>
      </w:numPr>
      <w:tabs>
        <w:tab w:val="left" w:pos="993"/>
      </w:tabs>
      <w:autoSpaceDE w:val="0"/>
      <w:autoSpaceDN w:val="0"/>
      <w:adjustRightInd w:val="0"/>
      <w:spacing w:before="100" w:after="100"/>
      <w:jc w:val="both"/>
    </w:pPr>
    <w:rPr>
      <w:rFonts w:ascii="Tahoma" w:eastAsia="Times New Roman" w:hAnsi="Tahoma" w:cs="Tahoma"/>
      <w:b/>
      <w:bCs/>
      <w:iCs/>
      <w:sz w:val="22"/>
      <w:szCs w:val="22"/>
    </w:rPr>
  </w:style>
  <w:style w:type="paragraph" w:customStyle="1" w:styleId="004SKLEPTEVILEN">
    <w:name w:val="004_SKLEP ŠTEVILČEN"/>
    <w:basedOn w:val="predlogsklepa-tevilen"/>
    <w:qFormat/>
    <w:rsid w:val="006739C5"/>
    <w:pPr>
      <w:ind w:left="993" w:hanging="426"/>
    </w:pPr>
  </w:style>
  <w:style w:type="paragraph" w:styleId="Telobesedila3">
    <w:name w:val="Body Text 3"/>
    <w:basedOn w:val="Navaden"/>
    <w:link w:val="Telobesedila3Znak"/>
    <w:uiPriority w:val="99"/>
    <w:semiHidden/>
    <w:unhideWhenUsed/>
    <w:rsid w:val="006739C5"/>
    <w:pPr>
      <w:spacing w:after="120"/>
    </w:pPr>
    <w:rPr>
      <w:sz w:val="16"/>
      <w:szCs w:val="16"/>
    </w:rPr>
  </w:style>
  <w:style w:type="character" w:customStyle="1" w:styleId="Telobesedila3Znak">
    <w:name w:val="Telo besedila 3 Znak"/>
    <w:basedOn w:val="Privzetapisavaodstavka"/>
    <w:link w:val="Telobesedila3"/>
    <w:uiPriority w:val="99"/>
    <w:semiHidden/>
    <w:rsid w:val="006739C5"/>
    <w:rPr>
      <w:sz w:val="16"/>
      <w:szCs w:val="16"/>
    </w:rPr>
  </w:style>
  <w:style w:type="paragraph" w:styleId="Besedilooblaka">
    <w:name w:val="Balloon Text"/>
    <w:basedOn w:val="Navaden"/>
    <w:link w:val="BesedilooblakaZnak"/>
    <w:uiPriority w:val="99"/>
    <w:semiHidden/>
    <w:unhideWhenUsed/>
    <w:rsid w:val="00C03BA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3BA4"/>
    <w:rPr>
      <w:rFonts w:ascii="Tahoma" w:hAnsi="Tahoma" w:cs="Tahoma"/>
      <w:sz w:val="16"/>
      <w:szCs w:val="16"/>
    </w:rPr>
  </w:style>
  <w:style w:type="paragraph" w:customStyle="1" w:styleId="002toka">
    <w:name w:val="002_točka"/>
    <w:basedOn w:val="Telobesedila3"/>
    <w:qFormat/>
    <w:rsid w:val="002F0108"/>
    <w:pPr>
      <w:numPr>
        <w:numId w:val="2"/>
      </w:numPr>
      <w:tabs>
        <w:tab w:val="num" w:pos="360"/>
      </w:tabs>
      <w:autoSpaceDE w:val="0"/>
      <w:autoSpaceDN w:val="0"/>
      <w:adjustRightInd w:val="0"/>
      <w:spacing w:before="100" w:after="100"/>
      <w:ind w:left="0" w:firstLine="0"/>
      <w:jc w:val="both"/>
    </w:pPr>
    <w:rPr>
      <w:rFonts w:ascii="Tahoma" w:eastAsia="Times New Roman" w:hAnsi="Tahoma" w:cs="Tahoma"/>
      <w:bCs/>
      <w:iCs/>
      <w:sz w:val="22"/>
      <w:szCs w:val="22"/>
      <w:u w:val="single"/>
    </w:rPr>
  </w:style>
  <w:style w:type="paragraph" w:styleId="Pripombabesedilo">
    <w:name w:val="annotation text"/>
    <w:basedOn w:val="Navaden"/>
    <w:link w:val="PripombabesediloZnak"/>
    <w:uiPriority w:val="99"/>
    <w:semiHidden/>
    <w:unhideWhenUsed/>
    <w:rsid w:val="00B46E47"/>
    <w:rPr>
      <w:sz w:val="20"/>
      <w:szCs w:val="20"/>
    </w:rPr>
  </w:style>
  <w:style w:type="character" w:customStyle="1" w:styleId="PripombabesediloZnak">
    <w:name w:val="Pripomba – besedilo Znak"/>
    <w:basedOn w:val="Privzetapisavaodstavka"/>
    <w:link w:val="Pripombabesedilo"/>
    <w:uiPriority w:val="99"/>
    <w:semiHidden/>
    <w:rsid w:val="00B46E47"/>
    <w:rPr>
      <w:rFonts w:ascii="Calibri" w:hAnsi="Calibri" w:cs="Times New Roman"/>
      <w:sz w:val="20"/>
      <w:szCs w:val="20"/>
    </w:rPr>
  </w:style>
  <w:style w:type="character" w:styleId="Pripombasklic">
    <w:name w:val="annotation reference"/>
    <w:basedOn w:val="Privzetapisavaodstavka"/>
    <w:uiPriority w:val="99"/>
    <w:semiHidden/>
    <w:unhideWhenUsed/>
    <w:rsid w:val="00B46E47"/>
    <w:rPr>
      <w:sz w:val="16"/>
      <w:szCs w:val="16"/>
    </w:rPr>
  </w:style>
  <w:style w:type="paragraph" w:styleId="Glava">
    <w:name w:val="header"/>
    <w:basedOn w:val="Navaden"/>
    <w:link w:val="GlavaZnak"/>
    <w:uiPriority w:val="99"/>
    <w:unhideWhenUsed/>
    <w:rsid w:val="00B71660"/>
    <w:pPr>
      <w:tabs>
        <w:tab w:val="center" w:pos="4536"/>
        <w:tab w:val="right" w:pos="9072"/>
      </w:tabs>
    </w:pPr>
  </w:style>
  <w:style w:type="character" w:customStyle="1" w:styleId="GlavaZnak">
    <w:name w:val="Glava Znak"/>
    <w:basedOn w:val="Privzetapisavaodstavka"/>
    <w:link w:val="Glava"/>
    <w:uiPriority w:val="99"/>
    <w:rsid w:val="00B71660"/>
    <w:rPr>
      <w:rFonts w:ascii="Calibri" w:hAnsi="Calibri" w:cs="Times New Roman"/>
    </w:rPr>
  </w:style>
  <w:style w:type="paragraph" w:styleId="Noga">
    <w:name w:val="footer"/>
    <w:basedOn w:val="Navaden"/>
    <w:link w:val="NogaZnak"/>
    <w:uiPriority w:val="99"/>
    <w:unhideWhenUsed/>
    <w:rsid w:val="00B71660"/>
    <w:pPr>
      <w:tabs>
        <w:tab w:val="center" w:pos="4536"/>
        <w:tab w:val="right" w:pos="9072"/>
      </w:tabs>
    </w:pPr>
  </w:style>
  <w:style w:type="character" w:customStyle="1" w:styleId="NogaZnak">
    <w:name w:val="Noga Znak"/>
    <w:basedOn w:val="Privzetapisavaodstavka"/>
    <w:link w:val="Noga"/>
    <w:uiPriority w:val="99"/>
    <w:rsid w:val="00B71660"/>
    <w:rPr>
      <w:rFonts w:ascii="Calibri" w:hAnsi="Calibri" w:cs="Times New Roman"/>
    </w:rPr>
  </w:style>
  <w:style w:type="paragraph" w:styleId="Odstavekseznama">
    <w:name w:val="List Paragraph"/>
    <w:basedOn w:val="Navaden"/>
    <w:link w:val="OdstavekseznamaZnak"/>
    <w:uiPriority w:val="34"/>
    <w:qFormat/>
    <w:rsid w:val="00370497"/>
    <w:pPr>
      <w:spacing w:after="120"/>
      <w:ind w:left="720"/>
      <w:jc w:val="both"/>
    </w:pPr>
    <w:rPr>
      <w:rFonts w:ascii="Tahoma" w:eastAsia="Times New Roman" w:hAnsi="Tahoma" w:cs="Tahoma"/>
      <w:lang w:val="en-GB"/>
    </w:rPr>
  </w:style>
  <w:style w:type="character" w:customStyle="1" w:styleId="OdstavekseznamaZnak">
    <w:name w:val="Odstavek seznama Znak"/>
    <w:link w:val="Odstavekseznama"/>
    <w:uiPriority w:val="34"/>
    <w:rsid w:val="00370497"/>
    <w:rPr>
      <w:rFonts w:ascii="Tahoma" w:eastAsia="Times New Roman" w:hAnsi="Tahoma" w:cs="Tahoma"/>
      <w:lang w:val="en-GB"/>
    </w:rPr>
  </w:style>
  <w:style w:type="paragraph" w:styleId="Telobesedila">
    <w:name w:val="Body Text"/>
    <w:basedOn w:val="Navaden"/>
    <w:link w:val="TelobesedilaZnak"/>
    <w:uiPriority w:val="99"/>
    <w:semiHidden/>
    <w:unhideWhenUsed/>
    <w:rsid w:val="00E1362D"/>
    <w:pPr>
      <w:spacing w:after="120"/>
    </w:pPr>
  </w:style>
  <w:style w:type="character" w:customStyle="1" w:styleId="TelobesedilaZnak">
    <w:name w:val="Telo besedila Znak"/>
    <w:basedOn w:val="Privzetapisavaodstavka"/>
    <w:link w:val="Telobesedila"/>
    <w:uiPriority w:val="99"/>
    <w:semiHidden/>
    <w:rsid w:val="00E1362D"/>
    <w:rPr>
      <w:rFonts w:ascii="Calibri" w:hAnsi="Calibri" w:cs="Times New Roman"/>
    </w:rPr>
  </w:style>
  <w:style w:type="paragraph" w:styleId="Telobesedila-zamik">
    <w:name w:val="Body Text Indent"/>
    <w:basedOn w:val="Navaden"/>
    <w:link w:val="Telobesedila-zamikZnak"/>
    <w:uiPriority w:val="99"/>
    <w:rsid w:val="00133B09"/>
    <w:pPr>
      <w:spacing w:after="120"/>
      <w:ind w:left="283"/>
      <w:jc w:val="both"/>
    </w:pPr>
    <w:rPr>
      <w:rFonts w:ascii="Tahoma" w:eastAsia="Times New Roman" w:hAnsi="Tahoma" w:cs="Tahoma"/>
    </w:rPr>
  </w:style>
  <w:style w:type="character" w:customStyle="1" w:styleId="Telobesedila-zamikZnak">
    <w:name w:val="Telo besedila - zamik Znak"/>
    <w:basedOn w:val="Privzetapisavaodstavka"/>
    <w:link w:val="Telobesedila-zamik"/>
    <w:uiPriority w:val="99"/>
    <w:rsid w:val="00133B09"/>
    <w:rPr>
      <w:rFonts w:ascii="Tahoma" w:eastAsia="Times New Roman" w:hAnsi="Tahoma" w:cs="Tahoma"/>
    </w:rPr>
  </w:style>
  <w:style w:type="paragraph" w:styleId="Zadevapripombe">
    <w:name w:val="annotation subject"/>
    <w:basedOn w:val="Pripombabesedilo"/>
    <w:next w:val="Pripombabesedilo"/>
    <w:link w:val="ZadevapripombeZnak"/>
    <w:uiPriority w:val="99"/>
    <w:semiHidden/>
    <w:unhideWhenUsed/>
    <w:rsid w:val="00133B09"/>
    <w:rPr>
      <w:b/>
      <w:bCs/>
    </w:rPr>
  </w:style>
  <w:style w:type="character" w:customStyle="1" w:styleId="ZadevapripombeZnak">
    <w:name w:val="Zadeva pripombe Znak"/>
    <w:basedOn w:val="PripombabesediloZnak"/>
    <w:link w:val="Zadevapripombe"/>
    <w:uiPriority w:val="99"/>
    <w:semiHidden/>
    <w:rsid w:val="00133B09"/>
    <w:rPr>
      <w:rFonts w:ascii="Calibri" w:hAnsi="Calibri" w:cs="Times New Roman"/>
      <w:b/>
      <w:bCs/>
      <w:sz w:val="20"/>
      <w:szCs w:val="20"/>
    </w:rPr>
  </w:style>
  <w:style w:type="paragraph" w:styleId="Golobesedilo">
    <w:name w:val="Plain Text"/>
    <w:basedOn w:val="Navaden"/>
    <w:link w:val="GolobesediloZnak"/>
    <w:uiPriority w:val="99"/>
    <w:semiHidden/>
    <w:unhideWhenUsed/>
    <w:rsid w:val="00D53122"/>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D5312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75749"/>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21F7A"/>
    <w:pPr>
      <w:autoSpaceDE w:val="0"/>
      <w:autoSpaceDN w:val="0"/>
      <w:adjustRightInd w:val="0"/>
      <w:spacing w:after="0" w:line="240" w:lineRule="auto"/>
    </w:pPr>
    <w:rPr>
      <w:rFonts w:ascii="Tahoma" w:hAnsi="Tahoma" w:cs="Tahoma"/>
      <w:color w:val="000000"/>
      <w:sz w:val="24"/>
      <w:szCs w:val="24"/>
    </w:rPr>
  </w:style>
  <w:style w:type="paragraph" w:customStyle="1" w:styleId="predlogsklepa-tevilen">
    <w:name w:val="predlog sklepa - številčen"/>
    <w:basedOn w:val="Telobesedila3"/>
    <w:qFormat/>
    <w:rsid w:val="006739C5"/>
    <w:pPr>
      <w:numPr>
        <w:numId w:val="1"/>
      </w:numPr>
      <w:tabs>
        <w:tab w:val="left" w:pos="993"/>
      </w:tabs>
      <w:autoSpaceDE w:val="0"/>
      <w:autoSpaceDN w:val="0"/>
      <w:adjustRightInd w:val="0"/>
      <w:spacing w:before="100" w:after="100"/>
      <w:jc w:val="both"/>
    </w:pPr>
    <w:rPr>
      <w:rFonts w:ascii="Tahoma" w:eastAsia="Times New Roman" w:hAnsi="Tahoma" w:cs="Tahoma"/>
      <w:b/>
      <w:bCs/>
      <w:iCs/>
      <w:sz w:val="22"/>
      <w:szCs w:val="22"/>
    </w:rPr>
  </w:style>
  <w:style w:type="paragraph" w:customStyle="1" w:styleId="004SKLEPTEVILEN">
    <w:name w:val="004_SKLEP ŠTEVILČEN"/>
    <w:basedOn w:val="predlogsklepa-tevilen"/>
    <w:qFormat/>
    <w:rsid w:val="006739C5"/>
    <w:pPr>
      <w:ind w:left="993" w:hanging="426"/>
    </w:pPr>
  </w:style>
  <w:style w:type="paragraph" w:styleId="Telobesedila3">
    <w:name w:val="Body Text 3"/>
    <w:basedOn w:val="Navaden"/>
    <w:link w:val="Telobesedila3Znak"/>
    <w:uiPriority w:val="99"/>
    <w:semiHidden/>
    <w:unhideWhenUsed/>
    <w:rsid w:val="006739C5"/>
    <w:pPr>
      <w:spacing w:after="120"/>
    </w:pPr>
    <w:rPr>
      <w:sz w:val="16"/>
      <w:szCs w:val="16"/>
    </w:rPr>
  </w:style>
  <w:style w:type="character" w:customStyle="1" w:styleId="Telobesedila3Znak">
    <w:name w:val="Telo besedila 3 Znak"/>
    <w:basedOn w:val="Privzetapisavaodstavka"/>
    <w:link w:val="Telobesedila3"/>
    <w:uiPriority w:val="99"/>
    <w:semiHidden/>
    <w:rsid w:val="006739C5"/>
    <w:rPr>
      <w:sz w:val="16"/>
      <w:szCs w:val="16"/>
    </w:rPr>
  </w:style>
  <w:style w:type="paragraph" w:styleId="Besedilooblaka">
    <w:name w:val="Balloon Text"/>
    <w:basedOn w:val="Navaden"/>
    <w:link w:val="BesedilooblakaZnak"/>
    <w:uiPriority w:val="99"/>
    <w:semiHidden/>
    <w:unhideWhenUsed/>
    <w:rsid w:val="00C03BA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3BA4"/>
    <w:rPr>
      <w:rFonts w:ascii="Tahoma" w:hAnsi="Tahoma" w:cs="Tahoma"/>
      <w:sz w:val="16"/>
      <w:szCs w:val="16"/>
    </w:rPr>
  </w:style>
  <w:style w:type="paragraph" w:customStyle="1" w:styleId="002toka">
    <w:name w:val="002_točka"/>
    <w:basedOn w:val="Telobesedila3"/>
    <w:qFormat/>
    <w:rsid w:val="002F0108"/>
    <w:pPr>
      <w:numPr>
        <w:numId w:val="2"/>
      </w:numPr>
      <w:tabs>
        <w:tab w:val="num" w:pos="360"/>
      </w:tabs>
      <w:autoSpaceDE w:val="0"/>
      <w:autoSpaceDN w:val="0"/>
      <w:adjustRightInd w:val="0"/>
      <w:spacing w:before="100" w:after="100"/>
      <w:ind w:left="0" w:firstLine="0"/>
      <w:jc w:val="both"/>
    </w:pPr>
    <w:rPr>
      <w:rFonts w:ascii="Tahoma" w:eastAsia="Times New Roman" w:hAnsi="Tahoma" w:cs="Tahoma"/>
      <w:bCs/>
      <w:iCs/>
      <w:sz w:val="22"/>
      <w:szCs w:val="22"/>
      <w:u w:val="single"/>
    </w:rPr>
  </w:style>
  <w:style w:type="paragraph" w:styleId="Pripombabesedilo">
    <w:name w:val="annotation text"/>
    <w:basedOn w:val="Navaden"/>
    <w:link w:val="PripombabesediloZnak"/>
    <w:uiPriority w:val="99"/>
    <w:semiHidden/>
    <w:unhideWhenUsed/>
    <w:rsid w:val="00B46E47"/>
    <w:rPr>
      <w:sz w:val="20"/>
      <w:szCs w:val="20"/>
    </w:rPr>
  </w:style>
  <w:style w:type="character" w:customStyle="1" w:styleId="PripombabesediloZnak">
    <w:name w:val="Pripomba – besedilo Znak"/>
    <w:basedOn w:val="Privzetapisavaodstavka"/>
    <w:link w:val="Pripombabesedilo"/>
    <w:uiPriority w:val="99"/>
    <w:semiHidden/>
    <w:rsid w:val="00B46E47"/>
    <w:rPr>
      <w:rFonts w:ascii="Calibri" w:hAnsi="Calibri" w:cs="Times New Roman"/>
      <w:sz w:val="20"/>
      <w:szCs w:val="20"/>
    </w:rPr>
  </w:style>
  <w:style w:type="character" w:styleId="Pripombasklic">
    <w:name w:val="annotation reference"/>
    <w:basedOn w:val="Privzetapisavaodstavka"/>
    <w:uiPriority w:val="99"/>
    <w:semiHidden/>
    <w:unhideWhenUsed/>
    <w:rsid w:val="00B46E47"/>
    <w:rPr>
      <w:sz w:val="16"/>
      <w:szCs w:val="16"/>
    </w:rPr>
  </w:style>
  <w:style w:type="paragraph" w:styleId="Glava">
    <w:name w:val="header"/>
    <w:basedOn w:val="Navaden"/>
    <w:link w:val="GlavaZnak"/>
    <w:uiPriority w:val="99"/>
    <w:unhideWhenUsed/>
    <w:rsid w:val="00B71660"/>
    <w:pPr>
      <w:tabs>
        <w:tab w:val="center" w:pos="4536"/>
        <w:tab w:val="right" w:pos="9072"/>
      </w:tabs>
    </w:pPr>
  </w:style>
  <w:style w:type="character" w:customStyle="1" w:styleId="GlavaZnak">
    <w:name w:val="Glava Znak"/>
    <w:basedOn w:val="Privzetapisavaodstavka"/>
    <w:link w:val="Glava"/>
    <w:uiPriority w:val="99"/>
    <w:rsid w:val="00B71660"/>
    <w:rPr>
      <w:rFonts w:ascii="Calibri" w:hAnsi="Calibri" w:cs="Times New Roman"/>
    </w:rPr>
  </w:style>
  <w:style w:type="paragraph" w:styleId="Noga">
    <w:name w:val="footer"/>
    <w:basedOn w:val="Navaden"/>
    <w:link w:val="NogaZnak"/>
    <w:uiPriority w:val="99"/>
    <w:unhideWhenUsed/>
    <w:rsid w:val="00B71660"/>
    <w:pPr>
      <w:tabs>
        <w:tab w:val="center" w:pos="4536"/>
        <w:tab w:val="right" w:pos="9072"/>
      </w:tabs>
    </w:pPr>
  </w:style>
  <w:style w:type="character" w:customStyle="1" w:styleId="NogaZnak">
    <w:name w:val="Noga Znak"/>
    <w:basedOn w:val="Privzetapisavaodstavka"/>
    <w:link w:val="Noga"/>
    <w:uiPriority w:val="99"/>
    <w:rsid w:val="00B71660"/>
    <w:rPr>
      <w:rFonts w:ascii="Calibri" w:hAnsi="Calibri" w:cs="Times New Roman"/>
    </w:rPr>
  </w:style>
  <w:style w:type="paragraph" w:styleId="Odstavekseznama">
    <w:name w:val="List Paragraph"/>
    <w:basedOn w:val="Navaden"/>
    <w:link w:val="OdstavekseznamaZnak"/>
    <w:uiPriority w:val="34"/>
    <w:qFormat/>
    <w:rsid w:val="00370497"/>
    <w:pPr>
      <w:spacing w:after="120"/>
      <w:ind w:left="720"/>
      <w:jc w:val="both"/>
    </w:pPr>
    <w:rPr>
      <w:rFonts w:ascii="Tahoma" w:eastAsia="Times New Roman" w:hAnsi="Tahoma" w:cs="Tahoma"/>
      <w:lang w:val="en-GB"/>
    </w:rPr>
  </w:style>
  <w:style w:type="character" w:customStyle="1" w:styleId="OdstavekseznamaZnak">
    <w:name w:val="Odstavek seznama Znak"/>
    <w:link w:val="Odstavekseznama"/>
    <w:uiPriority w:val="34"/>
    <w:rsid w:val="00370497"/>
    <w:rPr>
      <w:rFonts w:ascii="Tahoma" w:eastAsia="Times New Roman" w:hAnsi="Tahoma" w:cs="Tahoma"/>
      <w:lang w:val="en-GB"/>
    </w:rPr>
  </w:style>
  <w:style w:type="paragraph" w:styleId="Telobesedila">
    <w:name w:val="Body Text"/>
    <w:basedOn w:val="Navaden"/>
    <w:link w:val="TelobesedilaZnak"/>
    <w:uiPriority w:val="99"/>
    <w:semiHidden/>
    <w:unhideWhenUsed/>
    <w:rsid w:val="00E1362D"/>
    <w:pPr>
      <w:spacing w:after="120"/>
    </w:pPr>
  </w:style>
  <w:style w:type="character" w:customStyle="1" w:styleId="TelobesedilaZnak">
    <w:name w:val="Telo besedila Znak"/>
    <w:basedOn w:val="Privzetapisavaodstavka"/>
    <w:link w:val="Telobesedila"/>
    <w:uiPriority w:val="99"/>
    <w:semiHidden/>
    <w:rsid w:val="00E1362D"/>
    <w:rPr>
      <w:rFonts w:ascii="Calibri" w:hAnsi="Calibri" w:cs="Times New Roman"/>
    </w:rPr>
  </w:style>
  <w:style w:type="paragraph" w:styleId="Telobesedila-zamik">
    <w:name w:val="Body Text Indent"/>
    <w:basedOn w:val="Navaden"/>
    <w:link w:val="Telobesedila-zamikZnak"/>
    <w:uiPriority w:val="99"/>
    <w:rsid w:val="00133B09"/>
    <w:pPr>
      <w:spacing w:after="120"/>
      <w:ind w:left="283"/>
      <w:jc w:val="both"/>
    </w:pPr>
    <w:rPr>
      <w:rFonts w:ascii="Tahoma" w:eastAsia="Times New Roman" w:hAnsi="Tahoma" w:cs="Tahoma"/>
    </w:rPr>
  </w:style>
  <w:style w:type="character" w:customStyle="1" w:styleId="Telobesedila-zamikZnak">
    <w:name w:val="Telo besedila - zamik Znak"/>
    <w:basedOn w:val="Privzetapisavaodstavka"/>
    <w:link w:val="Telobesedila-zamik"/>
    <w:uiPriority w:val="99"/>
    <w:rsid w:val="00133B09"/>
    <w:rPr>
      <w:rFonts w:ascii="Tahoma" w:eastAsia="Times New Roman" w:hAnsi="Tahoma" w:cs="Tahoma"/>
    </w:rPr>
  </w:style>
  <w:style w:type="paragraph" w:styleId="Zadevapripombe">
    <w:name w:val="annotation subject"/>
    <w:basedOn w:val="Pripombabesedilo"/>
    <w:next w:val="Pripombabesedilo"/>
    <w:link w:val="ZadevapripombeZnak"/>
    <w:uiPriority w:val="99"/>
    <w:semiHidden/>
    <w:unhideWhenUsed/>
    <w:rsid w:val="00133B09"/>
    <w:rPr>
      <w:b/>
      <w:bCs/>
    </w:rPr>
  </w:style>
  <w:style w:type="character" w:customStyle="1" w:styleId="ZadevapripombeZnak">
    <w:name w:val="Zadeva pripombe Znak"/>
    <w:basedOn w:val="PripombabesediloZnak"/>
    <w:link w:val="Zadevapripombe"/>
    <w:uiPriority w:val="99"/>
    <w:semiHidden/>
    <w:rsid w:val="00133B09"/>
    <w:rPr>
      <w:rFonts w:ascii="Calibri" w:hAnsi="Calibri" w:cs="Times New Roman"/>
      <w:b/>
      <w:bCs/>
      <w:sz w:val="20"/>
      <w:szCs w:val="20"/>
    </w:rPr>
  </w:style>
  <w:style w:type="paragraph" w:styleId="Golobesedilo">
    <w:name w:val="Plain Text"/>
    <w:basedOn w:val="Navaden"/>
    <w:link w:val="GolobesediloZnak"/>
    <w:uiPriority w:val="99"/>
    <w:semiHidden/>
    <w:unhideWhenUsed/>
    <w:rsid w:val="00D53122"/>
    <w:rPr>
      <w:rFonts w:ascii="Consolas" w:hAnsi="Consolas" w:cs="Consolas"/>
      <w:sz w:val="21"/>
      <w:szCs w:val="21"/>
    </w:rPr>
  </w:style>
  <w:style w:type="character" w:customStyle="1" w:styleId="GolobesediloZnak">
    <w:name w:val="Golo besedilo Znak"/>
    <w:basedOn w:val="Privzetapisavaodstavka"/>
    <w:link w:val="Golobesedilo"/>
    <w:uiPriority w:val="99"/>
    <w:semiHidden/>
    <w:rsid w:val="00D5312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4230">
      <w:bodyDiv w:val="1"/>
      <w:marLeft w:val="0"/>
      <w:marRight w:val="0"/>
      <w:marTop w:val="0"/>
      <w:marBottom w:val="0"/>
      <w:divBdr>
        <w:top w:val="none" w:sz="0" w:space="0" w:color="auto"/>
        <w:left w:val="none" w:sz="0" w:space="0" w:color="auto"/>
        <w:bottom w:val="none" w:sz="0" w:space="0" w:color="auto"/>
        <w:right w:val="none" w:sz="0" w:space="0" w:color="auto"/>
      </w:divBdr>
    </w:div>
    <w:div w:id="309679247">
      <w:bodyDiv w:val="1"/>
      <w:marLeft w:val="0"/>
      <w:marRight w:val="0"/>
      <w:marTop w:val="0"/>
      <w:marBottom w:val="0"/>
      <w:divBdr>
        <w:top w:val="none" w:sz="0" w:space="0" w:color="auto"/>
        <w:left w:val="none" w:sz="0" w:space="0" w:color="auto"/>
        <w:bottom w:val="none" w:sz="0" w:space="0" w:color="auto"/>
        <w:right w:val="none" w:sz="0" w:space="0" w:color="auto"/>
      </w:divBdr>
    </w:div>
    <w:div w:id="939989984">
      <w:bodyDiv w:val="1"/>
      <w:marLeft w:val="0"/>
      <w:marRight w:val="0"/>
      <w:marTop w:val="0"/>
      <w:marBottom w:val="0"/>
      <w:divBdr>
        <w:top w:val="none" w:sz="0" w:space="0" w:color="auto"/>
        <w:left w:val="none" w:sz="0" w:space="0" w:color="auto"/>
        <w:bottom w:val="none" w:sz="0" w:space="0" w:color="auto"/>
        <w:right w:val="none" w:sz="0" w:space="0" w:color="auto"/>
      </w:divBdr>
    </w:div>
    <w:div w:id="1027029555">
      <w:bodyDiv w:val="1"/>
      <w:marLeft w:val="0"/>
      <w:marRight w:val="0"/>
      <w:marTop w:val="0"/>
      <w:marBottom w:val="0"/>
      <w:divBdr>
        <w:top w:val="none" w:sz="0" w:space="0" w:color="auto"/>
        <w:left w:val="none" w:sz="0" w:space="0" w:color="auto"/>
        <w:bottom w:val="none" w:sz="0" w:space="0" w:color="auto"/>
        <w:right w:val="none" w:sz="0" w:space="0" w:color="auto"/>
      </w:divBdr>
    </w:div>
    <w:div w:id="1492676979">
      <w:bodyDiv w:val="1"/>
      <w:marLeft w:val="0"/>
      <w:marRight w:val="0"/>
      <w:marTop w:val="0"/>
      <w:marBottom w:val="0"/>
      <w:divBdr>
        <w:top w:val="none" w:sz="0" w:space="0" w:color="auto"/>
        <w:left w:val="none" w:sz="0" w:space="0" w:color="auto"/>
        <w:bottom w:val="none" w:sz="0" w:space="0" w:color="auto"/>
        <w:right w:val="none" w:sz="0" w:space="0" w:color="auto"/>
      </w:divBdr>
    </w:div>
    <w:div w:id="1576014994">
      <w:bodyDiv w:val="1"/>
      <w:marLeft w:val="0"/>
      <w:marRight w:val="0"/>
      <w:marTop w:val="0"/>
      <w:marBottom w:val="0"/>
      <w:divBdr>
        <w:top w:val="none" w:sz="0" w:space="0" w:color="auto"/>
        <w:left w:val="none" w:sz="0" w:space="0" w:color="auto"/>
        <w:bottom w:val="none" w:sz="0" w:space="0" w:color="auto"/>
        <w:right w:val="none" w:sz="0" w:space="0" w:color="auto"/>
      </w:divBdr>
    </w:div>
    <w:div w:id="1609196333">
      <w:bodyDiv w:val="1"/>
      <w:marLeft w:val="0"/>
      <w:marRight w:val="0"/>
      <w:marTop w:val="0"/>
      <w:marBottom w:val="0"/>
      <w:divBdr>
        <w:top w:val="none" w:sz="0" w:space="0" w:color="auto"/>
        <w:left w:val="none" w:sz="0" w:space="0" w:color="auto"/>
        <w:bottom w:val="none" w:sz="0" w:space="0" w:color="auto"/>
        <w:right w:val="none" w:sz="0" w:space="0" w:color="auto"/>
      </w:divBdr>
    </w:div>
    <w:div w:id="2072850533">
      <w:bodyDiv w:val="1"/>
      <w:marLeft w:val="0"/>
      <w:marRight w:val="0"/>
      <w:marTop w:val="0"/>
      <w:marBottom w:val="0"/>
      <w:divBdr>
        <w:top w:val="none" w:sz="0" w:space="0" w:color="auto"/>
        <w:left w:val="none" w:sz="0" w:space="0" w:color="auto"/>
        <w:bottom w:val="none" w:sz="0" w:space="0" w:color="auto"/>
        <w:right w:val="none" w:sz="0" w:space="0" w:color="auto"/>
      </w:divBdr>
    </w:div>
    <w:div w:id="20889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Nina Šibič</cp:lastModifiedBy>
  <cp:revision>2</cp:revision>
  <cp:lastPrinted>2015-11-23T14:37:00Z</cp:lastPrinted>
  <dcterms:created xsi:type="dcterms:W3CDTF">2015-11-25T14:28:00Z</dcterms:created>
  <dcterms:modified xsi:type="dcterms:W3CDTF">2015-11-25T14:28:00Z</dcterms:modified>
</cp:coreProperties>
</file>