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46" w:rsidRDefault="00971D9E" w:rsidP="008B5691">
      <w:pPr>
        <w:pStyle w:val="Brezrazmikov1"/>
        <w:spacing w:line="276" w:lineRule="auto"/>
        <w:jc w:val="center"/>
        <w:rPr>
          <w:rFonts w:cs="Tahoma"/>
          <w:b/>
          <w:sz w:val="24"/>
          <w:szCs w:val="24"/>
        </w:rPr>
      </w:pPr>
      <w:bookmarkStart w:id="0" w:name="_GoBack"/>
      <w:bookmarkEnd w:id="0"/>
      <w:r>
        <w:rPr>
          <w:rFonts w:cs="Tahoma"/>
          <w:b/>
          <w:noProof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4.45pt;margin-top:-35.7pt;width:47.25pt;height:33.3pt;z-index:-251658240;visibility:visible;mso-wrap-edited:f" wrapcoords="14341 0 -177 251 2479 8037 7967 21098 8852 21098 12393 12056 19475 10047 21246 9293 20361 8037 20538 7033 19652 5274 18413 4019 18590 2260 17528 502 15934 0 14341 0" o:allowincell="f">
            <v:imagedata r:id="rId8" o:title=""/>
            <w10:wrap type="through"/>
          </v:shape>
          <o:OLEObject Type="Embed" ProgID="Word.Picture.8" ShapeID="_x0000_s1027" DrawAspect="Content" ObjectID="_1457788532" r:id="rId9"/>
        </w:pict>
      </w:r>
      <w:r w:rsidR="00415863" w:rsidRPr="00415863">
        <w:rPr>
          <w:rFonts w:cs="Tahoma"/>
          <w:b/>
          <w:sz w:val="24"/>
          <w:szCs w:val="24"/>
        </w:rPr>
        <w:t>Predlog Sveta ustanoviteljev</w:t>
      </w:r>
      <w:r w:rsidR="00924146">
        <w:rPr>
          <w:rFonts w:cs="Tahoma"/>
          <w:b/>
          <w:sz w:val="24"/>
          <w:szCs w:val="24"/>
        </w:rPr>
        <w:t xml:space="preserve"> javnih podjetij</w:t>
      </w:r>
      <w:r w:rsidR="00415863" w:rsidRPr="00415863">
        <w:rPr>
          <w:rFonts w:cs="Tahoma"/>
          <w:b/>
          <w:sz w:val="24"/>
          <w:szCs w:val="24"/>
        </w:rPr>
        <w:t xml:space="preserve"> ni bil obravnavan </w:t>
      </w:r>
    </w:p>
    <w:p w:rsidR="00415863" w:rsidRDefault="00415863" w:rsidP="008B5691">
      <w:pPr>
        <w:pStyle w:val="Brezrazmikov1"/>
        <w:spacing w:line="276" w:lineRule="auto"/>
        <w:jc w:val="center"/>
        <w:rPr>
          <w:rFonts w:cs="Tahoma"/>
          <w:b/>
          <w:sz w:val="24"/>
          <w:szCs w:val="24"/>
        </w:rPr>
      </w:pPr>
      <w:r w:rsidRPr="00415863">
        <w:rPr>
          <w:rFonts w:cs="Tahoma"/>
          <w:b/>
          <w:sz w:val="24"/>
          <w:szCs w:val="24"/>
        </w:rPr>
        <w:t xml:space="preserve">na </w:t>
      </w:r>
      <w:r w:rsidR="00690241">
        <w:rPr>
          <w:rFonts w:cs="Tahoma"/>
          <w:b/>
          <w:sz w:val="24"/>
          <w:szCs w:val="24"/>
        </w:rPr>
        <w:t xml:space="preserve">zadnji marčevski seji </w:t>
      </w:r>
      <w:r w:rsidRPr="00415863">
        <w:rPr>
          <w:rFonts w:cs="Tahoma"/>
          <w:b/>
          <w:sz w:val="24"/>
          <w:szCs w:val="24"/>
        </w:rPr>
        <w:t>Vlade</w:t>
      </w:r>
    </w:p>
    <w:p w:rsidR="00415863" w:rsidRDefault="00415863" w:rsidP="008B5691">
      <w:pPr>
        <w:pStyle w:val="Brezrazmikov1"/>
        <w:spacing w:line="276" w:lineRule="auto"/>
        <w:jc w:val="both"/>
        <w:rPr>
          <w:rFonts w:cs="Tahoma"/>
          <w:b/>
          <w:sz w:val="24"/>
          <w:szCs w:val="24"/>
        </w:rPr>
      </w:pPr>
    </w:p>
    <w:p w:rsidR="00690241" w:rsidRDefault="00690241" w:rsidP="008B5691">
      <w:pPr>
        <w:pStyle w:val="Brezrazmikov1"/>
        <w:spacing w:line="276" w:lineRule="auto"/>
        <w:jc w:val="both"/>
        <w:rPr>
          <w:rFonts w:cs="Tahoma"/>
          <w:b/>
          <w:sz w:val="24"/>
          <w:szCs w:val="24"/>
        </w:rPr>
      </w:pPr>
    </w:p>
    <w:p w:rsidR="00415863" w:rsidRDefault="00415863" w:rsidP="008B5691">
      <w:pPr>
        <w:spacing w:line="276" w:lineRule="auto"/>
        <w:jc w:val="both"/>
        <w:rPr>
          <w:b/>
        </w:rPr>
      </w:pPr>
      <w:r w:rsidRPr="009B4C6C">
        <w:rPr>
          <w:b/>
        </w:rPr>
        <w:t>Ljubljana, 31. marec 2014 - Javno podjetje Vodovod-Kanalizacija je skladno z vladno Uredbo o metodologiji za oblikovanje cen storitev obveznih občinskih gospodarskih javnih služb varstva okolja izdelalo Elaborat o oblikovanju cen storitev gospodarskih javnih služb (GJS), ki ga je pristojni organ, Svet ustanoviteljev, obravnaval na marčevski seji. Po obravnavi</w:t>
      </w:r>
      <w:r w:rsidR="009B4C6C" w:rsidRPr="009B4C6C">
        <w:rPr>
          <w:b/>
        </w:rPr>
        <w:t xml:space="preserve"> Elaborata</w:t>
      </w:r>
      <w:r w:rsidRPr="009B4C6C">
        <w:rPr>
          <w:b/>
        </w:rPr>
        <w:t xml:space="preserve"> je Svet ustanoviteljev sprejel sklep, da se vladi pošlje predlog za </w:t>
      </w:r>
      <w:r w:rsidR="009B4C6C" w:rsidRPr="009B4C6C">
        <w:rPr>
          <w:b/>
        </w:rPr>
        <w:t xml:space="preserve">odpravo nesorazmernih obremenitev uporabnikov </w:t>
      </w:r>
      <w:r w:rsidRPr="009B4C6C">
        <w:rPr>
          <w:b/>
        </w:rPr>
        <w:t xml:space="preserve">in </w:t>
      </w:r>
      <w:r w:rsidR="009B4C6C" w:rsidRPr="009B4C6C">
        <w:rPr>
          <w:b/>
        </w:rPr>
        <w:t xml:space="preserve">posledično tudi </w:t>
      </w:r>
      <w:r w:rsidRPr="009B4C6C">
        <w:rPr>
          <w:b/>
        </w:rPr>
        <w:t xml:space="preserve">predlog za </w:t>
      </w:r>
      <w:r w:rsidR="009B4C6C" w:rsidRPr="009B4C6C">
        <w:rPr>
          <w:b/>
        </w:rPr>
        <w:t>podaljšanje</w:t>
      </w:r>
      <w:r w:rsidRPr="009B4C6C">
        <w:rPr>
          <w:b/>
        </w:rPr>
        <w:t xml:space="preserve"> roka uveljavitve cen </w:t>
      </w:r>
      <w:r w:rsidR="009B4C6C" w:rsidRPr="009B4C6C">
        <w:rPr>
          <w:b/>
        </w:rPr>
        <w:t>do 1. julija 2014.</w:t>
      </w:r>
      <w:r w:rsidRPr="009B4C6C">
        <w:rPr>
          <w:b/>
        </w:rPr>
        <w:t xml:space="preserve"> </w:t>
      </w:r>
      <w:r w:rsidR="009B4C6C" w:rsidRPr="009B4C6C">
        <w:rPr>
          <w:b/>
        </w:rPr>
        <w:t xml:space="preserve">Vlada predlogov Sveta ustanoviteljev na zadnji </w:t>
      </w:r>
      <w:r w:rsidR="00205098" w:rsidRPr="00690241">
        <w:rPr>
          <w:b/>
          <w:color w:val="000000" w:themeColor="text1"/>
        </w:rPr>
        <w:t>marčevski</w:t>
      </w:r>
      <w:r w:rsidR="00205098" w:rsidRPr="00205098">
        <w:rPr>
          <w:b/>
          <w:color w:val="FF0000"/>
        </w:rPr>
        <w:t xml:space="preserve"> </w:t>
      </w:r>
      <w:r w:rsidR="009B4C6C" w:rsidRPr="009B4C6C">
        <w:rPr>
          <w:b/>
        </w:rPr>
        <w:t>seji, dne 27. marca 2014</w:t>
      </w:r>
      <w:r w:rsidR="00A32E26">
        <w:rPr>
          <w:b/>
        </w:rPr>
        <w:t>,</w:t>
      </w:r>
      <w:r w:rsidR="009B4C6C" w:rsidRPr="009B4C6C">
        <w:rPr>
          <w:b/>
        </w:rPr>
        <w:t xml:space="preserve"> ni obravnavala, zato je JP Vodovod-Kanalizacija dolžan s 1. aprilom </w:t>
      </w:r>
      <w:r w:rsidR="00690241" w:rsidRPr="00690241">
        <w:rPr>
          <w:b/>
          <w:color w:val="000000" w:themeColor="text1"/>
        </w:rPr>
        <w:t>uveljaviti</w:t>
      </w:r>
      <w:r w:rsidR="00690241">
        <w:rPr>
          <w:b/>
          <w:color w:val="FF0000"/>
        </w:rPr>
        <w:t xml:space="preserve"> </w:t>
      </w:r>
      <w:r w:rsidR="009B4C6C" w:rsidRPr="009B4C6C">
        <w:rPr>
          <w:b/>
        </w:rPr>
        <w:t xml:space="preserve">cene po obstoječem elaboratu. </w:t>
      </w:r>
    </w:p>
    <w:p w:rsidR="009B4C6C" w:rsidRDefault="009B4C6C" w:rsidP="008B5691">
      <w:pPr>
        <w:spacing w:line="276" w:lineRule="auto"/>
        <w:jc w:val="both"/>
        <w:rPr>
          <w:b/>
        </w:rPr>
      </w:pPr>
    </w:p>
    <w:p w:rsidR="00415863" w:rsidRDefault="003E0109" w:rsidP="008B5691">
      <w:pPr>
        <w:spacing w:line="276" w:lineRule="auto"/>
        <w:jc w:val="both"/>
      </w:pPr>
      <w:r w:rsidRPr="008E0417">
        <w:t>Vladna Uredba o metodologiji za oblikovanje cen storitev obveznih občinskih gospodarskih javnih služb varstva okolja upravljavce sistemov za oskrbo s pitno vodo in odvajanje odpadne vode obvezuje, da morajo najkasneje s 1. aprilom 2014 uveljaviti cene, izračunane po metodologiji, ki jo Uredba predpisuje. Ker predlogi vladi za odpravo nesorazmernih obremenitev uporabnikov in za</w:t>
      </w:r>
      <w:r w:rsidR="00205098" w:rsidRPr="00205098">
        <w:t xml:space="preserve"> prestavitev datuma uskladitve občinskih predpisov z Uredbo</w:t>
      </w:r>
      <w:r w:rsidR="00FD64DE">
        <w:t xml:space="preserve"> </w:t>
      </w:r>
      <w:r w:rsidR="008E0417" w:rsidRPr="008E0417">
        <w:t>na 1. julij</w:t>
      </w:r>
      <w:r w:rsidRPr="008E0417">
        <w:t xml:space="preserve"> 2014</w:t>
      </w:r>
      <w:r w:rsidR="008E0417">
        <w:t>,</w:t>
      </w:r>
      <w:r w:rsidR="008E0417" w:rsidRPr="008E0417">
        <w:t xml:space="preserve"> na zadnji seji vlade v marcu niso bili obravnavani, j</w:t>
      </w:r>
      <w:r w:rsidR="008E0417">
        <w:t>e JP Vodovod-Kanalizacija dolžno</w:t>
      </w:r>
      <w:r w:rsidR="008E0417" w:rsidRPr="008E0417">
        <w:t xml:space="preserve"> uveljaviti cene iz Elaborat</w:t>
      </w:r>
      <w:r w:rsidR="008B5691">
        <w:t>a</w:t>
      </w:r>
      <w:r w:rsidR="008E0417" w:rsidRPr="008E0417">
        <w:t xml:space="preserve"> o oblikovanju cen storitev gospodarskih javnih služb</w:t>
      </w:r>
      <w:r w:rsidR="008E0417">
        <w:t>.</w:t>
      </w:r>
    </w:p>
    <w:p w:rsidR="002C3FDF" w:rsidRDefault="002C3FDF" w:rsidP="008B5691">
      <w:pPr>
        <w:jc w:val="both"/>
      </w:pPr>
    </w:p>
    <w:p w:rsidR="008E0417" w:rsidRDefault="008E0417" w:rsidP="008B5691">
      <w:pPr>
        <w:spacing w:line="276" w:lineRule="auto"/>
        <w:jc w:val="both"/>
      </w:pPr>
      <w:r>
        <w:t xml:space="preserve">Pri obračunu </w:t>
      </w:r>
      <w:r w:rsidR="007A5B2A">
        <w:t xml:space="preserve">cen iz Elaborata </w:t>
      </w:r>
      <w:r>
        <w:t>gre za usklajevanje načina obračuna z zgoraj navedeno Uredbo, pri čemer prihodki družbe ostajajo praktično na isti ravni</w:t>
      </w:r>
      <w:r w:rsidR="007A5B2A">
        <w:t xml:space="preserve"> (</w:t>
      </w:r>
      <w:r w:rsidR="007A5B2A" w:rsidRPr="00A32E26">
        <w:rPr>
          <w:b/>
        </w:rPr>
        <w:t>prihodki leta 2012: 32.742.435, planirani prihodki leta 2014: 32.759.215</w:t>
      </w:r>
      <w:r w:rsidR="007A5B2A">
        <w:t>)</w:t>
      </w:r>
      <w:r>
        <w:t>.</w:t>
      </w:r>
      <w:r w:rsidRPr="002D0BAD">
        <w:rPr>
          <w:rFonts w:asciiTheme="minorHAnsi" w:eastAsiaTheme="minorEastAsia" w:hAnsi="Frutiger"/>
          <w:color w:val="000000" w:themeColor="text1"/>
          <w:sz w:val="32"/>
          <w:szCs w:val="32"/>
          <w:lang w:eastAsia="sl-SI"/>
        </w:rPr>
        <w:t xml:space="preserve"> </w:t>
      </w:r>
      <w:r>
        <w:t>S</w:t>
      </w:r>
      <w:r w:rsidRPr="002D0BAD">
        <w:t xml:space="preserve">troški, ki jih predpisuje Uredba (padavinska voda, </w:t>
      </w:r>
      <w:proofErr w:type="spellStart"/>
      <w:r w:rsidRPr="002D0BAD">
        <w:t>omrežnina</w:t>
      </w:r>
      <w:proofErr w:type="spellEnd"/>
      <w:r>
        <w:t xml:space="preserve"> itd.</w:t>
      </w:r>
      <w:r w:rsidRPr="002D0BAD">
        <w:t>) so bi</w:t>
      </w:r>
      <w:r>
        <w:t>li že do sedaj vključeni v ceno, u</w:t>
      </w:r>
      <w:r w:rsidRPr="002D0BAD">
        <w:t>redba</w:t>
      </w:r>
      <w:r>
        <w:t xml:space="preserve"> pa</w:t>
      </w:r>
      <w:r w:rsidRPr="002D0BAD">
        <w:t xml:space="preserve"> predpisuje drugačno porazdelitev elementov cene</w:t>
      </w:r>
      <w:r>
        <w:t>.</w:t>
      </w:r>
    </w:p>
    <w:p w:rsidR="002C3FDF" w:rsidRDefault="002C3FDF" w:rsidP="008B5691">
      <w:pPr>
        <w:spacing w:line="276" w:lineRule="auto"/>
        <w:jc w:val="both"/>
      </w:pPr>
    </w:p>
    <w:p w:rsidR="002C3FDF" w:rsidRDefault="002A0156" w:rsidP="008B5691">
      <w:pPr>
        <w:spacing w:line="276" w:lineRule="auto"/>
        <w:jc w:val="both"/>
        <w:rPr>
          <w:b/>
        </w:rPr>
      </w:pPr>
      <w:r>
        <w:t xml:space="preserve">Pri oskrbi s pitno vodo je bilo pred uredbo zaračunano pet postavk: vodarina, vodno povračilo, </w:t>
      </w:r>
      <w:proofErr w:type="spellStart"/>
      <w:r>
        <w:t>omrežnina</w:t>
      </w:r>
      <w:proofErr w:type="spellEnd"/>
      <w:r>
        <w:t xml:space="preserve">, </w:t>
      </w:r>
      <w:proofErr w:type="spellStart"/>
      <w:r>
        <w:t>števčnina</w:t>
      </w:r>
      <w:proofErr w:type="spellEnd"/>
      <w:r>
        <w:t xml:space="preserve"> in vzdrževalnina, po uredbi pa bosta ob</w:t>
      </w:r>
      <w:r w:rsidR="002C3FDF">
        <w:t xml:space="preserve">računani dve postavki (vodarina, ki vključuje vodno povračilo in </w:t>
      </w:r>
      <w:proofErr w:type="spellStart"/>
      <w:r w:rsidR="002C3FDF">
        <w:t>omrežnina</w:t>
      </w:r>
      <w:proofErr w:type="spellEnd"/>
      <w:r w:rsidR="002C3FDF">
        <w:t xml:space="preserve">, ki vključuje prejšnje postavke </w:t>
      </w:r>
      <w:proofErr w:type="spellStart"/>
      <w:r w:rsidR="002C3FDF">
        <w:t>števčnino</w:t>
      </w:r>
      <w:proofErr w:type="spellEnd"/>
      <w:r w:rsidR="002C3FDF">
        <w:t xml:space="preserve">, vzdrževalnino in </w:t>
      </w:r>
      <w:proofErr w:type="spellStart"/>
      <w:r w:rsidR="002C3FDF">
        <w:t>omrežnino</w:t>
      </w:r>
      <w:proofErr w:type="spellEnd"/>
      <w:r w:rsidR="002C3FDF">
        <w:t>). Pri storitvi odvajanja</w:t>
      </w:r>
      <w:r w:rsidR="002C3FDF" w:rsidRPr="00207E1B">
        <w:rPr>
          <w:b/>
        </w:rPr>
        <w:t xml:space="preserve"> </w:t>
      </w:r>
      <w:r w:rsidR="002C3FDF">
        <w:t>in čiščenja</w:t>
      </w:r>
      <w:r w:rsidR="002C3FDF" w:rsidRPr="002C3FDF">
        <w:t xml:space="preserve"> komunalne in padavinske odpadne vode</w:t>
      </w:r>
      <w:r w:rsidR="002C3FDF">
        <w:t xml:space="preserve"> se po uredbi za vse postavke ločeno obračuna</w:t>
      </w:r>
      <w:r w:rsidR="008B5691">
        <w:t xml:space="preserve"> cena storitve in cena </w:t>
      </w:r>
      <w:proofErr w:type="spellStart"/>
      <w:r w:rsidR="008B5691">
        <w:t>omrežnine</w:t>
      </w:r>
      <w:proofErr w:type="spellEnd"/>
      <w:r w:rsidR="002C3FDF">
        <w:t xml:space="preserve">, kar se po do zdaj veljavnih predpisih ni prikazovalo ločeno. </w:t>
      </w:r>
      <w:r w:rsidR="008B5691">
        <w:t>Nadaljnja n</w:t>
      </w:r>
      <w:r w:rsidR="002C3FDF">
        <w:t>ovost</w:t>
      </w:r>
      <w:r w:rsidR="00990179">
        <w:t xml:space="preserve"> uredbe je</w:t>
      </w:r>
      <w:r w:rsidR="002C3FDF">
        <w:t xml:space="preserve"> pri ločenem zaračunavanju padavinske odpadne vode, </w:t>
      </w:r>
      <w:r w:rsidR="008B5691">
        <w:t>ki se bo zaračunavala le tistim uporabnikom</w:t>
      </w:r>
      <w:r w:rsidR="002C3FDF">
        <w:t xml:space="preserve">, pri katerih se padavinska odpadna voda odvaja v javno kanalizacijo. </w:t>
      </w:r>
      <w:r w:rsidR="008B5691">
        <w:t xml:space="preserve">Do zdaj je bil ta strošek </w:t>
      </w:r>
      <w:proofErr w:type="spellStart"/>
      <w:r w:rsidR="008B5691">
        <w:t>vkalkuliran</w:t>
      </w:r>
      <w:proofErr w:type="spellEnd"/>
      <w:r w:rsidR="008B5691">
        <w:t xml:space="preserve"> v ceno odvajanja za vse uporabnike.</w:t>
      </w:r>
    </w:p>
    <w:p w:rsidR="002C3FDF" w:rsidRPr="00F4775A" w:rsidRDefault="00990179" w:rsidP="008B5691">
      <w:pPr>
        <w:spacing w:line="276" w:lineRule="auto"/>
        <w:jc w:val="both"/>
      </w:pPr>
      <w:r>
        <w:t>Spremenjen način obračunavanja je tudi za s</w:t>
      </w:r>
      <w:r w:rsidR="002C3FDF" w:rsidRPr="002C3FDF">
        <w:t>toritve, povezane z greznicami in malimi komunalnimi čistilnimi napravami (MKČN)</w:t>
      </w:r>
      <w:r>
        <w:t>. Pred uredbo so se te storitve obračunavale ločeno po posamez</w:t>
      </w:r>
      <w:r w:rsidR="008B5691">
        <w:t>nih storitvah, ko so le-te</w:t>
      </w:r>
      <w:r>
        <w:t xml:space="preserve"> bile opravljene. </w:t>
      </w:r>
      <w:r w:rsidR="002C3FDF">
        <w:t>Po novem bodo vsi stroški, ki nastanejo zar</w:t>
      </w:r>
      <w:r w:rsidR="008B5691">
        <w:t>a</w:t>
      </w:r>
      <w:r w:rsidR="002C3FDF">
        <w:t>di prevzema in čiščenja vsebin iz greznic ali MKČN, zajeti v novi storitvi</w:t>
      </w:r>
      <w:r>
        <w:t>, ki se bo obračunavala mesečno.</w:t>
      </w:r>
    </w:p>
    <w:p w:rsidR="002C3FDF" w:rsidRPr="00207E1B" w:rsidRDefault="002C3FDF" w:rsidP="008B5691">
      <w:pPr>
        <w:spacing w:line="276" w:lineRule="auto"/>
        <w:jc w:val="both"/>
        <w:rPr>
          <w:b/>
        </w:rPr>
      </w:pPr>
    </w:p>
    <w:p w:rsidR="00ED11A1" w:rsidRDefault="00ED11A1" w:rsidP="008B5691">
      <w:pPr>
        <w:spacing w:line="276" w:lineRule="auto"/>
        <w:jc w:val="both"/>
        <w:rPr>
          <w:rFonts w:eastAsia="Times New Roman" w:cs="Tahoma"/>
          <w:bCs/>
          <w:lang w:eastAsia="sl-SI"/>
        </w:rPr>
      </w:pPr>
      <w:r>
        <w:rPr>
          <w:rFonts w:eastAsia="Times New Roman" w:cs="Tahoma"/>
          <w:bCs/>
          <w:lang w:eastAsia="sl-SI"/>
        </w:rPr>
        <w:t xml:space="preserve">Pri usklajevanju obračuna z Uredbo gre za prerazporeditev elementov, kar posledično pri nekaterih uporabnikih pomeni </w:t>
      </w:r>
      <w:r w:rsidRPr="00ED11A1">
        <w:rPr>
          <w:rFonts w:eastAsia="Times New Roman" w:cs="Tahoma"/>
          <w:b/>
          <w:bCs/>
          <w:lang w:eastAsia="sl-SI"/>
        </w:rPr>
        <w:t>nižjo ceno storitev, pri drugih pa višjo</w:t>
      </w:r>
      <w:r>
        <w:rPr>
          <w:rFonts w:eastAsia="Times New Roman" w:cs="Tahoma"/>
          <w:bCs/>
          <w:lang w:eastAsia="sl-SI"/>
        </w:rPr>
        <w:t xml:space="preserve">. </w:t>
      </w:r>
      <w:r w:rsidR="008B5691">
        <w:rPr>
          <w:rFonts w:eastAsia="Times New Roman" w:cs="Tahoma"/>
          <w:bCs/>
          <w:lang w:eastAsia="sl-SI"/>
        </w:rPr>
        <w:t>Sprememba na položnici za 1 do 3</w:t>
      </w:r>
      <w:r>
        <w:rPr>
          <w:rFonts w:eastAsia="Times New Roman" w:cs="Tahoma"/>
          <w:bCs/>
          <w:lang w:eastAsia="sl-SI"/>
        </w:rPr>
        <w:t xml:space="preserve"> EUR višje, zadeva predvsem segment uporabnikov, </w:t>
      </w:r>
      <w:r w:rsidRPr="00A32E26">
        <w:rPr>
          <w:rFonts w:eastAsia="Times New Roman" w:cs="Tahoma"/>
          <w:b/>
          <w:bCs/>
          <w:lang w:eastAsia="sl-SI"/>
        </w:rPr>
        <w:t>ki živijo v večstanovanjskih stavbah</w:t>
      </w:r>
      <w:r>
        <w:rPr>
          <w:rFonts w:eastAsia="Times New Roman" w:cs="Tahoma"/>
          <w:bCs/>
          <w:lang w:eastAsia="sl-SI"/>
        </w:rPr>
        <w:t xml:space="preserve"> brez lastnega vodomera. Za slednje Uredba predpisuje, da se pri obračunu upošteva, kot da je stanovanje opremljeno z minimalnim možnim vodomerom in se vsaki enoti posebej zaračuna </w:t>
      </w:r>
      <w:proofErr w:type="spellStart"/>
      <w:r>
        <w:rPr>
          <w:rFonts w:eastAsia="Times New Roman" w:cs="Tahoma"/>
          <w:bCs/>
          <w:lang w:eastAsia="sl-SI"/>
        </w:rPr>
        <w:t>omrežnina</w:t>
      </w:r>
      <w:proofErr w:type="spellEnd"/>
      <w:r>
        <w:rPr>
          <w:rFonts w:eastAsia="Times New Roman" w:cs="Tahoma"/>
          <w:bCs/>
          <w:lang w:eastAsia="sl-SI"/>
        </w:rPr>
        <w:t xml:space="preserve"> za omenjeni vodomer. Prej se je </w:t>
      </w:r>
      <w:proofErr w:type="spellStart"/>
      <w:r>
        <w:rPr>
          <w:rFonts w:eastAsia="Times New Roman" w:cs="Tahoma"/>
          <w:bCs/>
          <w:lang w:eastAsia="sl-SI"/>
        </w:rPr>
        <w:t>omrežnina</w:t>
      </w:r>
      <w:proofErr w:type="spellEnd"/>
      <w:r>
        <w:rPr>
          <w:rFonts w:eastAsia="Times New Roman" w:cs="Tahoma"/>
          <w:bCs/>
          <w:lang w:eastAsia="sl-SI"/>
        </w:rPr>
        <w:t xml:space="preserve"> obračunala za celoten objekt glede na velikost skupnega </w:t>
      </w:r>
      <w:r>
        <w:rPr>
          <w:rFonts w:eastAsia="Times New Roman" w:cs="Tahoma"/>
          <w:bCs/>
          <w:lang w:eastAsia="sl-SI"/>
        </w:rPr>
        <w:lastRenderedPageBreak/>
        <w:t xml:space="preserve">vstopnega vodomera in se delila na vsa stanovanja v večstanovanjskem objektu. Izhajajoč iz opisanega je Svet ustanoviteljev na seji 14. marca 2014 sprejel </w:t>
      </w:r>
      <w:r w:rsidR="00690241">
        <w:rPr>
          <w:rFonts w:eastAsia="Times New Roman" w:cs="Tahoma"/>
          <w:bCs/>
          <w:lang w:eastAsia="sl-SI"/>
        </w:rPr>
        <w:t>pobudo,</w:t>
      </w:r>
      <w:r w:rsidRPr="00690241">
        <w:rPr>
          <w:rFonts w:eastAsia="Times New Roman" w:cs="Tahoma"/>
          <w:bCs/>
          <w:color w:val="FF0000"/>
          <w:lang w:eastAsia="sl-SI"/>
        </w:rPr>
        <w:t xml:space="preserve"> </w:t>
      </w:r>
      <w:r>
        <w:rPr>
          <w:rFonts w:eastAsia="Times New Roman" w:cs="Tahoma"/>
          <w:bCs/>
          <w:lang w:eastAsia="sl-SI"/>
        </w:rPr>
        <w:t xml:space="preserve">da se vladi predlaga korekcijski faktor in sicer, </w:t>
      </w:r>
      <w:r w:rsidRPr="00BA5194">
        <w:rPr>
          <w:rFonts w:eastAsia="Times New Roman" w:cs="Tahoma"/>
          <w:b/>
          <w:bCs/>
          <w:lang w:eastAsia="sl-SI"/>
        </w:rPr>
        <w:t xml:space="preserve">da se zaračunavanje </w:t>
      </w:r>
      <w:proofErr w:type="spellStart"/>
      <w:r w:rsidRPr="00BA5194">
        <w:rPr>
          <w:rFonts w:eastAsia="Times New Roman" w:cs="Tahoma"/>
          <w:b/>
          <w:bCs/>
          <w:lang w:eastAsia="sl-SI"/>
        </w:rPr>
        <w:t>omrežnine</w:t>
      </w:r>
      <w:proofErr w:type="spellEnd"/>
      <w:r w:rsidRPr="00BA5194">
        <w:rPr>
          <w:rFonts w:eastAsia="Times New Roman" w:cs="Tahoma"/>
          <w:b/>
          <w:bCs/>
          <w:lang w:eastAsia="sl-SI"/>
        </w:rPr>
        <w:t xml:space="preserve"> v večstanovanjskih objektih korigira tako, da se posamezni enoti zaračuna le 50 % </w:t>
      </w:r>
      <w:proofErr w:type="spellStart"/>
      <w:r w:rsidRPr="00BA5194">
        <w:rPr>
          <w:rFonts w:eastAsia="Times New Roman" w:cs="Tahoma"/>
          <w:b/>
          <w:bCs/>
          <w:lang w:eastAsia="sl-SI"/>
        </w:rPr>
        <w:t>omrežnine</w:t>
      </w:r>
      <w:proofErr w:type="spellEnd"/>
      <w:r w:rsidRPr="00AC15AF">
        <w:rPr>
          <w:rFonts w:eastAsia="Times New Roman" w:cs="Tahoma"/>
          <w:bCs/>
          <w:lang w:eastAsia="sl-SI"/>
        </w:rPr>
        <w:t>.</w:t>
      </w:r>
      <w:r w:rsidR="00AC15AF" w:rsidRPr="00AC15AF">
        <w:rPr>
          <w:rFonts w:eastAsia="Times New Roman" w:cs="Tahoma"/>
          <w:bCs/>
          <w:lang w:eastAsia="sl-SI"/>
        </w:rPr>
        <w:t xml:space="preserve"> </w:t>
      </w:r>
    </w:p>
    <w:p w:rsidR="00FD64DE" w:rsidRPr="00690241" w:rsidRDefault="00FD64DE" w:rsidP="008B5691">
      <w:pPr>
        <w:spacing w:line="276" w:lineRule="auto"/>
        <w:jc w:val="both"/>
        <w:rPr>
          <w:rFonts w:eastAsia="Times New Roman" w:cs="Tahoma"/>
          <w:bCs/>
          <w:strike/>
          <w:color w:val="FF0000"/>
          <w:lang w:eastAsia="sl-SI"/>
        </w:rPr>
      </w:pPr>
    </w:p>
    <w:p w:rsidR="00BA5194" w:rsidRDefault="00BA5194" w:rsidP="008B5691">
      <w:pPr>
        <w:spacing w:line="276" w:lineRule="auto"/>
        <w:jc w:val="both"/>
        <w:rPr>
          <w:rFonts w:eastAsia="Times New Roman" w:cs="Tahoma"/>
          <w:bCs/>
          <w:lang w:eastAsia="sl-SI"/>
        </w:rPr>
      </w:pPr>
      <w:r>
        <w:rPr>
          <w:rFonts w:eastAsia="Times New Roman" w:cs="Tahoma"/>
          <w:bCs/>
          <w:lang w:eastAsia="sl-SI"/>
        </w:rPr>
        <w:t>Prvi</w:t>
      </w:r>
      <w:r w:rsidRPr="00BA5194">
        <w:rPr>
          <w:rFonts w:eastAsia="Times New Roman" w:cs="Tahoma"/>
          <w:bCs/>
          <w:lang w:eastAsia="sl-SI"/>
        </w:rPr>
        <w:t xml:space="preserve"> primer</w:t>
      </w:r>
      <w:r w:rsidR="00FD64DE">
        <w:rPr>
          <w:rFonts w:eastAsia="Times New Roman" w:cs="Tahoma"/>
          <w:bCs/>
          <w:lang w:eastAsia="sl-SI"/>
        </w:rPr>
        <w:t xml:space="preserve"> izračuna po novi Uredbi</w:t>
      </w:r>
      <w:r w:rsidR="00990179">
        <w:rPr>
          <w:rFonts w:eastAsia="Times New Roman" w:cs="Tahoma"/>
          <w:bCs/>
          <w:lang w:eastAsia="sl-SI"/>
        </w:rPr>
        <w:t xml:space="preserve"> je izračunan</w:t>
      </w:r>
      <w:r w:rsidR="00A32E26">
        <w:rPr>
          <w:rFonts w:eastAsia="Times New Roman" w:cs="Tahoma"/>
          <w:bCs/>
          <w:lang w:eastAsia="sl-SI"/>
        </w:rPr>
        <w:t xml:space="preserve"> </w:t>
      </w:r>
      <w:r w:rsidR="00990179">
        <w:rPr>
          <w:rFonts w:eastAsia="Times New Roman" w:cs="Tahoma"/>
          <w:bCs/>
          <w:lang w:eastAsia="sl-SI"/>
        </w:rPr>
        <w:t xml:space="preserve">za </w:t>
      </w:r>
      <w:r>
        <w:rPr>
          <w:rFonts w:eastAsia="Times New Roman" w:cs="Tahoma"/>
          <w:bCs/>
          <w:lang w:eastAsia="sl-SI"/>
        </w:rPr>
        <w:t>več</w:t>
      </w:r>
      <w:r w:rsidR="00990179" w:rsidRPr="00F77A0D">
        <w:rPr>
          <w:rFonts w:eastAsia="Times New Roman" w:cs="Tahoma"/>
          <w:bCs/>
          <w:lang w:eastAsia="sl-SI"/>
        </w:rPr>
        <w:t>stanovanjski objekt z 12 enotami, ki porabi 90 m³ mesečno, površina strehe je 450 m², vodomer DN 40 mm (faktor 10) ali pri starejši gradnjah vodomer DN 25 mm (faktor 3)</w:t>
      </w:r>
      <w:r>
        <w:rPr>
          <w:rFonts w:eastAsia="Times New Roman" w:cs="Tahoma"/>
          <w:bCs/>
          <w:lang w:eastAsia="sl-SI"/>
        </w:rPr>
        <w:t xml:space="preserve">. </w:t>
      </w:r>
      <w:r w:rsidRPr="0095152A">
        <w:rPr>
          <w:rFonts w:eastAsia="Times New Roman" w:cs="Tahoma"/>
          <w:bCs/>
          <w:sz w:val="20"/>
          <w:szCs w:val="20"/>
          <w:lang w:eastAsia="sl-SI"/>
        </w:rPr>
        <w:t xml:space="preserve">Strošek na enoto v večstanovanjskem </w:t>
      </w:r>
      <w:r>
        <w:rPr>
          <w:rFonts w:eastAsia="Times New Roman" w:cs="Tahoma"/>
          <w:bCs/>
          <w:sz w:val="20"/>
          <w:szCs w:val="20"/>
          <w:lang w:eastAsia="sl-SI"/>
        </w:rPr>
        <w:t xml:space="preserve">objektu pri DN40 je bil </w:t>
      </w:r>
      <w:r w:rsidRPr="00A32E26">
        <w:rPr>
          <w:rFonts w:eastAsia="Times New Roman" w:cs="Tahoma"/>
          <w:b/>
          <w:bCs/>
          <w:sz w:val="20"/>
          <w:szCs w:val="20"/>
          <w:lang w:eastAsia="sl-SI"/>
        </w:rPr>
        <w:t xml:space="preserve">v letu 2012 </w:t>
      </w:r>
      <w:r w:rsidRPr="00A32E26">
        <w:rPr>
          <w:rFonts w:eastAsia="Times New Roman" w:cs="Tahoma"/>
          <w:b/>
          <w:bCs/>
          <w:lang w:eastAsia="sl-SI"/>
        </w:rPr>
        <w:t>13,89 EUR/mesec</w:t>
      </w:r>
      <w:r>
        <w:rPr>
          <w:rFonts w:eastAsia="Times New Roman" w:cs="Tahoma"/>
          <w:bCs/>
          <w:lang w:eastAsia="sl-SI"/>
        </w:rPr>
        <w:t xml:space="preserve">, izračun po novi uredbi pa je </w:t>
      </w:r>
      <w:r w:rsidRPr="00A32E26">
        <w:rPr>
          <w:rFonts w:eastAsia="Times New Roman" w:cs="Tahoma"/>
          <w:b/>
          <w:bCs/>
          <w:lang w:eastAsia="sl-SI"/>
        </w:rPr>
        <w:t>14,95 EUR/mesec</w:t>
      </w:r>
      <w:r>
        <w:rPr>
          <w:rFonts w:eastAsia="Times New Roman" w:cs="Tahoma"/>
          <w:bCs/>
          <w:lang w:eastAsia="sl-SI"/>
        </w:rPr>
        <w:t xml:space="preserve">, pri DN25 je </w:t>
      </w:r>
      <w:r w:rsidRPr="00A32E26">
        <w:rPr>
          <w:rFonts w:eastAsia="Times New Roman" w:cs="Tahoma"/>
          <w:b/>
          <w:bCs/>
          <w:lang w:eastAsia="sl-SI"/>
        </w:rPr>
        <w:t>v letu 2012 11,83 EUR/mesec, v letu 2014 pa 14,95 EUR/mesec.</w:t>
      </w:r>
    </w:p>
    <w:p w:rsidR="00BA5194" w:rsidRDefault="00BA5194" w:rsidP="008B5691">
      <w:pPr>
        <w:spacing w:line="276" w:lineRule="auto"/>
        <w:jc w:val="both"/>
        <w:rPr>
          <w:rFonts w:eastAsia="Times New Roman" w:cs="Tahoma"/>
          <w:bCs/>
          <w:lang w:eastAsia="sl-SI"/>
        </w:rPr>
      </w:pPr>
      <w:r>
        <w:rPr>
          <w:rFonts w:eastAsia="Times New Roman" w:cs="Tahoma"/>
          <w:bCs/>
          <w:lang w:eastAsia="sl-SI"/>
        </w:rPr>
        <w:t xml:space="preserve">Drugi primer je izračunan za </w:t>
      </w:r>
      <w:r w:rsidRPr="00F77A0D">
        <w:rPr>
          <w:rFonts w:eastAsia="Times New Roman" w:cs="Tahoma"/>
          <w:bCs/>
          <w:lang w:eastAsia="sl-SI"/>
        </w:rPr>
        <w:t xml:space="preserve">enostanovanjski objekt, ki porabi 13 m³ vode, ima vodomer premera DN 20 mm (faktor 1) ter površino strehe 200 m², </w:t>
      </w:r>
      <w:r w:rsidR="00FD64DE">
        <w:rPr>
          <w:rFonts w:eastAsia="Times New Roman" w:cs="Tahoma"/>
          <w:bCs/>
          <w:lang w:eastAsia="sl-SI"/>
        </w:rPr>
        <w:t>s katere</w:t>
      </w:r>
      <w:r w:rsidRPr="00F77A0D">
        <w:rPr>
          <w:rFonts w:eastAsia="Times New Roman" w:cs="Tahoma"/>
          <w:bCs/>
          <w:lang w:eastAsia="sl-SI"/>
        </w:rPr>
        <w:t xml:space="preserve"> se </w:t>
      </w:r>
      <w:r w:rsidR="00FD64DE">
        <w:rPr>
          <w:rFonts w:eastAsia="Times New Roman" w:cs="Tahoma"/>
          <w:bCs/>
          <w:lang w:eastAsia="sl-SI"/>
        </w:rPr>
        <w:t xml:space="preserve">padavinska voda </w:t>
      </w:r>
      <w:r w:rsidRPr="00F77A0D">
        <w:rPr>
          <w:rFonts w:eastAsia="Times New Roman" w:cs="Tahoma"/>
          <w:bCs/>
          <w:lang w:eastAsia="sl-SI"/>
        </w:rPr>
        <w:t>odvaja v mešani sistem</w:t>
      </w:r>
      <w:r>
        <w:rPr>
          <w:rFonts w:eastAsia="Times New Roman" w:cs="Tahoma"/>
          <w:bCs/>
          <w:lang w:eastAsia="sl-SI"/>
        </w:rPr>
        <w:t xml:space="preserve">. Strošek po tem izračunu je </w:t>
      </w:r>
      <w:r w:rsidRPr="00A32E26">
        <w:rPr>
          <w:rFonts w:eastAsia="Times New Roman" w:cs="Tahoma"/>
          <w:b/>
          <w:bCs/>
          <w:lang w:eastAsia="sl-SI"/>
        </w:rPr>
        <w:t>za leto 2012 31,21 EUR/mesec, v letu 2014 pa 23,33 EUR/mesec.</w:t>
      </w:r>
    </w:p>
    <w:p w:rsidR="00BA5194" w:rsidRDefault="00BA5194" w:rsidP="008B5691">
      <w:pPr>
        <w:spacing w:line="276" w:lineRule="auto"/>
        <w:jc w:val="both"/>
        <w:rPr>
          <w:rFonts w:eastAsia="Times New Roman" w:cs="Tahoma"/>
          <w:bCs/>
          <w:lang w:eastAsia="sl-SI"/>
        </w:rPr>
      </w:pPr>
    </w:p>
    <w:p w:rsidR="00BA5194" w:rsidRDefault="00BA5194" w:rsidP="008B5691">
      <w:pPr>
        <w:spacing w:line="276" w:lineRule="auto"/>
        <w:jc w:val="both"/>
        <w:rPr>
          <w:rFonts w:eastAsia="Times New Roman" w:cs="Tahoma"/>
          <w:bCs/>
          <w:lang w:eastAsia="sl-SI"/>
        </w:rPr>
      </w:pPr>
      <w:r>
        <w:rPr>
          <w:rFonts w:eastAsia="Times New Roman" w:cs="Tahoma"/>
          <w:bCs/>
          <w:lang w:eastAsia="sl-SI"/>
        </w:rPr>
        <w:t xml:space="preserve">Ceniki po uredbi bodo objavljeni </w:t>
      </w:r>
      <w:r w:rsidR="00F74D5B" w:rsidRPr="00690241">
        <w:rPr>
          <w:rFonts w:eastAsia="Times New Roman" w:cs="Tahoma"/>
          <w:bCs/>
          <w:lang w:eastAsia="sl-SI"/>
        </w:rPr>
        <w:t>31.</w:t>
      </w:r>
      <w:r w:rsidR="00FD64DE">
        <w:rPr>
          <w:rFonts w:eastAsia="Times New Roman" w:cs="Tahoma"/>
          <w:bCs/>
          <w:lang w:eastAsia="sl-SI"/>
        </w:rPr>
        <w:t xml:space="preserve"> </w:t>
      </w:r>
      <w:r w:rsidR="00F74D5B" w:rsidRPr="00690241">
        <w:rPr>
          <w:rFonts w:eastAsia="Times New Roman" w:cs="Tahoma"/>
          <w:bCs/>
          <w:lang w:eastAsia="sl-SI"/>
        </w:rPr>
        <w:t>marca</w:t>
      </w:r>
      <w:r w:rsidRPr="00D34A5D">
        <w:rPr>
          <w:rFonts w:eastAsia="Times New Roman" w:cs="Tahoma"/>
          <w:bCs/>
          <w:lang w:eastAsia="sl-SI"/>
        </w:rPr>
        <w:t>,</w:t>
      </w:r>
      <w:r w:rsidR="00F74D5B">
        <w:rPr>
          <w:rFonts w:eastAsia="Times New Roman" w:cs="Tahoma"/>
          <w:bCs/>
          <w:lang w:eastAsia="sl-SI"/>
        </w:rPr>
        <w:t xml:space="preserve"> v veljavo pa stopijo s 1.4.2014, pri čemer bodo</w:t>
      </w:r>
      <w:r>
        <w:rPr>
          <w:rFonts w:eastAsia="Times New Roman" w:cs="Tahoma"/>
          <w:bCs/>
          <w:lang w:eastAsia="sl-SI"/>
        </w:rPr>
        <w:t xml:space="preserve"> uporabniki položnice po </w:t>
      </w:r>
      <w:r w:rsidR="00F74D5B">
        <w:rPr>
          <w:rFonts w:eastAsia="Times New Roman" w:cs="Tahoma"/>
          <w:bCs/>
          <w:lang w:eastAsia="sl-SI"/>
        </w:rPr>
        <w:t xml:space="preserve">novih </w:t>
      </w:r>
      <w:r>
        <w:rPr>
          <w:rFonts w:eastAsia="Times New Roman" w:cs="Tahoma"/>
          <w:bCs/>
          <w:lang w:eastAsia="sl-SI"/>
        </w:rPr>
        <w:t>obračunih iz Uredbe</w:t>
      </w:r>
      <w:r w:rsidR="00F74D5B">
        <w:rPr>
          <w:rFonts w:eastAsia="Times New Roman" w:cs="Tahoma"/>
          <w:bCs/>
          <w:lang w:eastAsia="sl-SI"/>
        </w:rPr>
        <w:t xml:space="preserve"> prvič</w:t>
      </w:r>
      <w:r>
        <w:rPr>
          <w:rFonts w:eastAsia="Times New Roman" w:cs="Tahoma"/>
          <w:bCs/>
          <w:lang w:eastAsia="sl-SI"/>
        </w:rPr>
        <w:t xml:space="preserve"> prejeli meseca maja.</w:t>
      </w:r>
    </w:p>
    <w:p w:rsidR="00BA5194" w:rsidRDefault="00BA5194" w:rsidP="008B5691">
      <w:pPr>
        <w:spacing w:line="276" w:lineRule="auto"/>
        <w:jc w:val="both"/>
        <w:rPr>
          <w:rFonts w:eastAsia="Times New Roman" w:cs="Tahoma"/>
          <w:bCs/>
          <w:lang w:eastAsia="sl-SI"/>
        </w:rPr>
      </w:pPr>
    </w:p>
    <w:p w:rsidR="00BA5194" w:rsidRPr="000D4801" w:rsidRDefault="00BA5194" w:rsidP="008B5691">
      <w:pPr>
        <w:jc w:val="both"/>
        <w:rPr>
          <w:rFonts w:eastAsia="Times New Roman" w:cs="Tahoma"/>
          <w:bCs/>
          <w:i/>
          <w:lang w:eastAsia="sl-SI"/>
        </w:rPr>
      </w:pPr>
      <w:r w:rsidRPr="000D4801">
        <w:rPr>
          <w:rFonts w:eastAsia="Times New Roman" w:cs="Tahoma"/>
          <w:bCs/>
          <w:i/>
          <w:lang w:eastAsia="sl-SI"/>
        </w:rPr>
        <w:t>Cene po elaboratu iz marca 2014:</w:t>
      </w:r>
    </w:p>
    <w:p w:rsidR="00BA5194" w:rsidRPr="000D4801" w:rsidRDefault="00BA5194" w:rsidP="008B5691">
      <w:pPr>
        <w:jc w:val="both"/>
        <w:rPr>
          <w:rFonts w:eastAsia="Times New Roman" w:cs="Tahoma"/>
          <w:bCs/>
          <w:i/>
          <w:lang w:eastAsia="sl-SI"/>
        </w:rPr>
      </w:pPr>
    </w:p>
    <w:p w:rsidR="00BA5194" w:rsidRPr="00AC15AF" w:rsidRDefault="00BA5194" w:rsidP="008B5691">
      <w:pPr>
        <w:jc w:val="both"/>
        <w:rPr>
          <w:rFonts w:asciiTheme="minorHAnsi" w:eastAsia="Times New Roman" w:hAnsiTheme="minorHAnsi" w:cs="Tahoma"/>
          <w:bCs/>
          <w:lang w:eastAsia="sl-SI"/>
        </w:rPr>
      </w:pPr>
      <w:r w:rsidRPr="00AC15AF">
        <w:rPr>
          <w:rFonts w:asciiTheme="minorHAnsi" w:eastAsia="Times New Roman" w:hAnsiTheme="minorHAnsi" w:cs="Tahoma"/>
          <w:bCs/>
          <w:lang w:eastAsia="sl-SI"/>
        </w:rPr>
        <w:t>Predlagana predračunska cena</w:t>
      </w:r>
    </w:p>
    <w:p w:rsidR="00BA5194" w:rsidRPr="00AC15AF" w:rsidRDefault="00BA5194" w:rsidP="008B5691">
      <w:pPr>
        <w:jc w:val="both"/>
        <w:rPr>
          <w:rFonts w:asciiTheme="minorHAnsi" w:eastAsia="Times New Roman" w:hAnsiTheme="minorHAnsi" w:cs="Tahoma"/>
          <w:b/>
          <w:bCs/>
          <w:lang w:eastAsia="sl-SI"/>
        </w:rPr>
      </w:pPr>
      <w:r w:rsidRPr="00AC15AF">
        <w:rPr>
          <w:rFonts w:asciiTheme="minorHAnsi" w:eastAsia="Times New Roman" w:hAnsiTheme="minorHAnsi" w:cs="Tahoma"/>
          <w:b/>
          <w:bCs/>
          <w:lang w:eastAsia="sl-SI"/>
        </w:rPr>
        <w:t>1. GJS oskrbe s pitno vodo,</w:t>
      </w:r>
      <w:r w:rsidRPr="00AC15AF">
        <w:rPr>
          <w:rFonts w:asciiTheme="minorHAnsi" w:hAnsiTheme="minorHAnsi" w:cs="Tahoma"/>
          <w:b/>
        </w:rPr>
        <w:t xml:space="preserve"> </w:t>
      </w:r>
      <w:r w:rsidRPr="00AC15AF">
        <w:rPr>
          <w:rFonts w:asciiTheme="minorHAnsi" w:eastAsia="Times New Roman" w:hAnsiTheme="minorHAnsi" w:cs="Tahoma"/>
          <w:b/>
          <w:bCs/>
          <w:lang w:eastAsia="sl-SI"/>
        </w:rPr>
        <w:t xml:space="preserve">ki vključuje: </w:t>
      </w:r>
    </w:p>
    <w:p w:rsidR="00BA5194" w:rsidRPr="00AC15AF" w:rsidRDefault="00BA5194" w:rsidP="008B5691">
      <w:pPr>
        <w:jc w:val="both"/>
        <w:rPr>
          <w:rFonts w:asciiTheme="minorHAnsi" w:eastAsia="Times New Roman" w:hAnsiTheme="minorHAnsi" w:cs="Tahoma"/>
          <w:bCs/>
          <w:lang w:eastAsia="sl-SI"/>
        </w:rPr>
      </w:pPr>
      <w:r w:rsidRPr="00AC15AF">
        <w:rPr>
          <w:rFonts w:asciiTheme="minorHAnsi" w:eastAsia="Times New Roman" w:hAnsiTheme="minorHAnsi" w:cs="Tahoma"/>
          <w:bCs/>
          <w:lang w:eastAsia="sl-SI"/>
        </w:rPr>
        <w:t>vodarina:  0,5469 EUR/m</w:t>
      </w:r>
      <w:r w:rsidRPr="00AC15AF">
        <w:rPr>
          <w:rFonts w:asciiTheme="minorHAnsi" w:eastAsia="Times New Roman" w:hAnsiTheme="minorHAnsi" w:cs="Tahoma"/>
          <w:bCs/>
          <w:vertAlign w:val="superscript"/>
          <w:lang w:eastAsia="sl-SI"/>
        </w:rPr>
        <w:t>3</w:t>
      </w:r>
      <w:r w:rsidRPr="00AC15AF">
        <w:rPr>
          <w:rFonts w:asciiTheme="minorHAnsi" w:eastAsia="Times New Roman" w:hAnsiTheme="minorHAnsi" w:cs="Tahoma"/>
          <w:bCs/>
          <w:lang w:eastAsia="sl-SI"/>
        </w:rPr>
        <w:t>.</w:t>
      </w:r>
    </w:p>
    <w:p w:rsidR="00BA5194" w:rsidRPr="00AC15AF" w:rsidRDefault="00BA5194" w:rsidP="008B5691">
      <w:pPr>
        <w:jc w:val="both"/>
        <w:rPr>
          <w:rFonts w:asciiTheme="minorHAnsi" w:eastAsia="Times New Roman" w:hAnsiTheme="minorHAnsi" w:cs="Tahoma"/>
          <w:bCs/>
          <w:lang w:eastAsia="sl-SI"/>
        </w:rPr>
      </w:pPr>
      <w:proofErr w:type="spellStart"/>
      <w:r w:rsidRPr="00AC15AF">
        <w:rPr>
          <w:rFonts w:asciiTheme="minorHAnsi" w:eastAsia="Times New Roman" w:hAnsiTheme="minorHAnsi" w:cs="Tahoma"/>
          <w:bCs/>
          <w:lang w:eastAsia="sl-SI"/>
        </w:rPr>
        <w:t>omrežnina</w:t>
      </w:r>
      <w:proofErr w:type="spellEnd"/>
      <w:r w:rsidRPr="00AC15AF">
        <w:rPr>
          <w:rFonts w:asciiTheme="minorHAnsi" w:eastAsia="Times New Roman" w:hAnsiTheme="minorHAnsi" w:cs="Tahoma"/>
          <w:bCs/>
          <w:lang w:eastAsia="sl-SI"/>
        </w:rPr>
        <w:t xml:space="preserve">:  2,8457 EUR/enoto na mesec  </w:t>
      </w:r>
    </w:p>
    <w:p w:rsidR="00BA5194" w:rsidRPr="00AC15AF" w:rsidRDefault="00BA5194" w:rsidP="008B5691">
      <w:pPr>
        <w:jc w:val="both"/>
        <w:rPr>
          <w:rFonts w:asciiTheme="minorHAnsi" w:hAnsiTheme="minorHAnsi"/>
        </w:rPr>
      </w:pPr>
    </w:p>
    <w:p w:rsidR="00BA5194" w:rsidRPr="00AC15AF" w:rsidRDefault="00BA5194" w:rsidP="008B5691">
      <w:pPr>
        <w:jc w:val="both"/>
        <w:rPr>
          <w:rFonts w:asciiTheme="minorHAnsi" w:hAnsiTheme="minorHAnsi"/>
          <w:b/>
        </w:rPr>
      </w:pPr>
      <w:r w:rsidRPr="00AC15AF">
        <w:rPr>
          <w:rFonts w:asciiTheme="minorHAnsi" w:hAnsiTheme="minorHAnsi"/>
          <w:b/>
        </w:rPr>
        <w:t>2. GJS odvajanja in čiščenja odpadne vode</w:t>
      </w:r>
    </w:p>
    <w:p w:rsidR="00BA5194" w:rsidRPr="00AC15AF" w:rsidRDefault="00BA5194" w:rsidP="008B5691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AC15AF">
        <w:rPr>
          <w:rFonts w:asciiTheme="minorHAnsi" w:hAnsiTheme="minorHAnsi" w:cs="Tahoma"/>
          <w:sz w:val="22"/>
          <w:szCs w:val="22"/>
        </w:rPr>
        <w:t>2.1. odvajanje komunalne odpadne vode in padavinske odpadne vode z javnih površin, ki vključuje:</w:t>
      </w:r>
    </w:p>
    <w:p w:rsidR="00BA5194" w:rsidRPr="00AC15AF" w:rsidRDefault="00BA5194" w:rsidP="008B5691">
      <w:pPr>
        <w:pStyle w:val="Default"/>
        <w:jc w:val="both"/>
        <w:rPr>
          <w:rFonts w:asciiTheme="minorHAnsi" w:hAnsiTheme="minorHAnsi" w:cs="Tahoma"/>
          <w:sz w:val="22"/>
          <w:szCs w:val="22"/>
          <w:u w:val="single"/>
        </w:rPr>
      </w:pPr>
      <w:r w:rsidRPr="00AC15AF">
        <w:rPr>
          <w:rFonts w:asciiTheme="minorHAnsi" w:hAnsiTheme="minorHAnsi" w:cs="Tahoma"/>
          <w:sz w:val="22"/>
          <w:szCs w:val="22"/>
        </w:rPr>
        <w:t>cena storitve: 0,1901 EUR/m</w:t>
      </w:r>
      <w:r w:rsidRPr="00AC15AF">
        <w:rPr>
          <w:rFonts w:asciiTheme="minorHAnsi" w:hAnsiTheme="minorHAnsi" w:cs="Tahoma"/>
          <w:sz w:val="22"/>
          <w:szCs w:val="22"/>
          <w:vertAlign w:val="superscript"/>
        </w:rPr>
        <w:t>3</w:t>
      </w:r>
    </w:p>
    <w:p w:rsidR="00BA5194" w:rsidRPr="00AC15AF" w:rsidRDefault="00BA5194" w:rsidP="008B5691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AC15AF">
        <w:rPr>
          <w:rFonts w:asciiTheme="minorHAnsi" w:hAnsiTheme="minorHAnsi" w:cs="Tahoma"/>
          <w:sz w:val="22"/>
          <w:szCs w:val="22"/>
        </w:rPr>
        <w:t>omrežnina</w:t>
      </w:r>
      <w:proofErr w:type="spellEnd"/>
      <w:r w:rsidRPr="00AC15AF">
        <w:rPr>
          <w:rFonts w:asciiTheme="minorHAnsi" w:hAnsiTheme="minorHAnsi" w:cs="Tahoma"/>
          <w:sz w:val="22"/>
          <w:szCs w:val="22"/>
        </w:rPr>
        <w:t>: 1,7094 EUR/enoto na mesec</w:t>
      </w:r>
    </w:p>
    <w:p w:rsidR="00BA5194" w:rsidRPr="00AC15AF" w:rsidRDefault="00BA5194" w:rsidP="008B5691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BA5194" w:rsidRPr="00AC15AF" w:rsidRDefault="00BA5194" w:rsidP="008B5691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AC15AF">
        <w:rPr>
          <w:rFonts w:asciiTheme="minorHAnsi" w:hAnsiTheme="minorHAnsi" w:cs="Tahoma"/>
          <w:sz w:val="22"/>
          <w:szCs w:val="22"/>
        </w:rPr>
        <w:t xml:space="preserve">2.2. odvajanje padavinske odpadne vode s streh, ki vključuje: </w:t>
      </w:r>
    </w:p>
    <w:p w:rsidR="00BA5194" w:rsidRPr="00AC15AF" w:rsidRDefault="00BA5194" w:rsidP="008B5691">
      <w:pPr>
        <w:pStyle w:val="Default"/>
        <w:jc w:val="both"/>
        <w:rPr>
          <w:rFonts w:asciiTheme="minorHAnsi" w:hAnsiTheme="minorHAnsi" w:cs="Tahoma"/>
          <w:sz w:val="22"/>
          <w:szCs w:val="22"/>
          <w:u w:val="single"/>
        </w:rPr>
      </w:pPr>
      <w:r w:rsidRPr="00AC15AF">
        <w:rPr>
          <w:rFonts w:asciiTheme="minorHAnsi" w:hAnsiTheme="minorHAnsi" w:cs="Tahoma"/>
          <w:sz w:val="22"/>
          <w:szCs w:val="22"/>
        </w:rPr>
        <w:t>cena storitve: 0,0982 EUR/m</w:t>
      </w:r>
      <w:r w:rsidRPr="00AC15AF">
        <w:rPr>
          <w:rFonts w:asciiTheme="minorHAnsi" w:hAnsiTheme="minorHAnsi" w:cs="Tahoma"/>
          <w:sz w:val="22"/>
          <w:szCs w:val="22"/>
          <w:vertAlign w:val="superscript"/>
        </w:rPr>
        <w:t>3</w:t>
      </w:r>
    </w:p>
    <w:p w:rsidR="00BA5194" w:rsidRPr="00AC15AF" w:rsidRDefault="00BA5194" w:rsidP="008B5691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AC15AF">
        <w:rPr>
          <w:rFonts w:asciiTheme="minorHAnsi" w:hAnsiTheme="minorHAnsi" w:cs="Tahoma"/>
          <w:sz w:val="22"/>
          <w:szCs w:val="22"/>
        </w:rPr>
        <w:t>omrežnina</w:t>
      </w:r>
      <w:proofErr w:type="spellEnd"/>
      <w:r w:rsidRPr="00AC15AF">
        <w:rPr>
          <w:rFonts w:asciiTheme="minorHAnsi" w:hAnsiTheme="minorHAnsi" w:cs="Tahoma"/>
          <w:sz w:val="22"/>
          <w:szCs w:val="22"/>
        </w:rPr>
        <w:t xml:space="preserve">: 0,3443 EUR/enoto na mesec </w:t>
      </w:r>
    </w:p>
    <w:p w:rsidR="00BA5194" w:rsidRPr="00AC15AF" w:rsidRDefault="00BA5194" w:rsidP="008B569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</w:rPr>
      </w:pPr>
    </w:p>
    <w:p w:rsidR="00BA5194" w:rsidRPr="00AC15AF" w:rsidRDefault="00BA5194" w:rsidP="008B569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</w:rPr>
      </w:pPr>
      <w:r w:rsidRPr="00AC15AF">
        <w:rPr>
          <w:rFonts w:asciiTheme="minorHAnsi" w:hAnsiTheme="minorHAnsi" w:cs="Tahoma"/>
          <w:color w:val="000000"/>
        </w:rPr>
        <w:t>2.3. storitve, povezane z nepretočnimi greznicami, obstoječimi greznicami in malimi komunalnimi čistilnimi napravami, ki vključuje:</w:t>
      </w:r>
    </w:p>
    <w:p w:rsidR="00BA5194" w:rsidRPr="00AC15AF" w:rsidRDefault="00BA5194" w:rsidP="008B569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</w:rPr>
      </w:pPr>
      <w:r w:rsidRPr="00AC15AF">
        <w:rPr>
          <w:rFonts w:asciiTheme="minorHAnsi" w:hAnsiTheme="minorHAnsi" w:cs="Tahoma"/>
          <w:color w:val="000000"/>
        </w:rPr>
        <w:t>cena storitve: 0,4560 EUR/m3</w:t>
      </w:r>
    </w:p>
    <w:p w:rsidR="00BA5194" w:rsidRPr="00AC15AF" w:rsidRDefault="00BA5194" w:rsidP="008B569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</w:rPr>
      </w:pPr>
      <w:proofErr w:type="spellStart"/>
      <w:r w:rsidRPr="00AC15AF">
        <w:rPr>
          <w:rFonts w:asciiTheme="minorHAnsi" w:hAnsiTheme="minorHAnsi" w:cs="Tahoma"/>
          <w:color w:val="000000"/>
        </w:rPr>
        <w:t>omrežnina</w:t>
      </w:r>
      <w:proofErr w:type="spellEnd"/>
      <w:r w:rsidRPr="00AC15AF">
        <w:rPr>
          <w:rFonts w:asciiTheme="minorHAnsi" w:hAnsiTheme="minorHAnsi" w:cs="Tahoma"/>
          <w:color w:val="000000"/>
        </w:rPr>
        <w:t>:  1,0354 EUR/enoto na mesec</w:t>
      </w:r>
    </w:p>
    <w:p w:rsidR="00BA5194" w:rsidRPr="00AC15AF" w:rsidRDefault="00BA5194" w:rsidP="008B569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</w:rPr>
      </w:pPr>
    </w:p>
    <w:p w:rsidR="00BA5194" w:rsidRPr="00AC15AF" w:rsidRDefault="00BA5194" w:rsidP="008B569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</w:rPr>
      </w:pPr>
      <w:r w:rsidRPr="00AC15AF">
        <w:rPr>
          <w:rFonts w:asciiTheme="minorHAnsi" w:hAnsiTheme="minorHAnsi" w:cs="Tahoma"/>
          <w:color w:val="000000"/>
        </w:rPr>
        <w:t>2.4. čiščenje komunalne odpadne vode in padavinske odpadne vode z javnih površin, ki vključuje:</w:t>
      </w:r>
    </w:p>
    <w:p w:rsidR="00BA5194" w:rsidRPr="00AC15AF" w:rsidRDefault="00BA5194" w:rsidP="008B5691">
      <w:pPr>
        <w:pStyle w:val="Default"/>
        <w:jc w:val="both"/>
        <w:rPr>
          <w:rFonts w:asciiTheme="minorHAnsi" w:hAnsiTheme="minorHAnsi" w:cs="Tahoma"/>
          <w:sz w:val="22"/>
          <w:szCs w:val="22"/>
          <w:u w:val="single"/>
        </w:rPr>
      </w:pPr>
      <w:r w:rsidRPr="00AC15AF">
        <w:rPr>
          <w:rFonts w:asciiTheme="minorHAnsi" w:hAnsiTheme="minorHAnsi" w:cs="Tahoma"/>
          <w:sz w:val="22"/>
          <w:szCs w:val="22"/>
        </w:rPr>
        <w:t>cena storitve: 0,2838 EUR/m</w:t>
      </w:r>
      <w:r w:rsidRPr="00AC15AF">
        <w:rPr>
          <w:rFonts w:asciiTheme="minorHAnsi" w:hAnsiTheme="minorHAnsi" w:cs="Tahoma"/>
          <w:sz w:val="22"/>
          <w:szCs w:val="22"/>
          <w:vertAlign w:val="superscript"/>
        </w:rPr>
        <w:t>3</w:t>
      </w:r>
    </w:p>
    <w:p w:rsidR="00BA5194" w:rsidRPr="00AC15AF" w:rsidRDefault="00BA5194" w:rsidP="008B5691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spellStart"/>
      <w:r w:rsidRPr="00AC15AF">
        <w:rPr>
          <w:rFonts w:asciiTheme="minorHAnsi" w:hAnsiTheme="minorHAnsi" w:cs="Tahoma"/>
          <w:color w:val="000000"/>
        </w:rPr>
        <w:t>omrežnina</w:t>
      </w:r>
      <w:proofErr w:type="spellEnd"/>
      <w:r w:rsidRPr="00AC15AF">
        <w:rPr>
          <w:rFonts w:asciiTheme="minorHAnsi" w:hAnsiTheme="minorHAnsi" w:cs="Tahoma"/>
          <w:color w:val="000000"/>
        </w:rPr>
        <w:t xml:space="preserve">:   </w:t>
      </w:r>
      <w:r w:rsidRPr="00AC15AF">
        <w:rPr>
          <w:rFonts w:asciiTheme="minorHAnsi" w:hAnsiTheme="minorHAnsi" w:cs="Tahoma"/>
        </w:rPr>
        <w:t>1,5862 EUR/enoto na mesec</w:t>
      </w:r>
    </w:p>
    <w:p w:rsidR="00BA5194" w:rsidRDefault="00BA5194" w:rsidP="008B5691">
      <w:pPr>
        <w:autoSpaceDE w:val="0"/>
        <w:autoSpaceDN w:val="0"/>
        <w:adjustRightInd w:val="0"/>
        <w:jc w:val="both"/>
        <w:rPr>
          <w:rFonts w:cs="Tahoma"/>
          <w:color w:val="000000"/>
          <w:u w:val="single"/>
        </w:rPr>
      </w:pPr>
    </w:p>
    <w:p w:rsidR="00BA5194" w:rsidRPr="00AC15AF" w:rsidRDefault="00BA5194" w:rsidP="008B569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</w:rPr>
      </w:pPr>
      <w:r w:rsidRPr="00AC15AF">
        <w:rPr>
          <w:rFonts w:asciiTheme="minorHAnsi" w:hAnsiTheme="minorHAnsi" w:cs="Tahoma"/>
          <w:color w:val="000000"/>
        </w:rPr>
        <w:t>2.5. čiščenje padavinske odpadne vode s streh, ki vključuje:</w:t>
      </w:r>
    </w:p>
    <w:p w:rsidR="00BA5194" w:rsidRPr="00AC15AF" w:rsidRDefault="00BA5194" w:rsidP="008B5691">
      <w:pPr>
        <w:pStyle w:val="Default"/>
        <w:jc w:val="both"/>
        <w:rPr>
          <w:rFonts w:asciiTheme="minorHAnsi" w:hAnsiTheme="minorHAnsi" w:cs="Tahoma"/>
          <w:sz w:val="22"/>
          <w:szCs w:val="22"/>
          <w:vertAlign w:val="superscript"/>
        </w:rPr>
      </w:pPr>
      <w:r w:rsidRPr="00AC15AF">
        <w:rPr>
          <w:rFonts w:asciiTheme="minorHAnsi" w:hAnsiTheme="minorHAnsi" w:cs="Tahoma"/>
          <w:sz w:val="22"/>
          <w:szCs w:val="22"/>
        </w:rPr>
        <w:t>cena storitve: 0,0441 EUR/m</w:t>
      </w:r>
      <w:r w:rsidRPr="00AC15AF">
        <w:rPr>
          <w:rFonts w:asciiTheme="minorHAnsi" w:hAnsiTheme="minorHAnsi" w:cs="Tahoma"/>
          <w:sz w:val="22"/>
          <w:szCs w:val="22"/>
          <w:vertAlign w:val="superscript"/>
        </w:rPr>
        <w:t>3</w:t>
      </w:r>
    </w:p>
    <w:p w:rsidR="00BA5194" w:rsidRPr="00AC15AF" w:rsidRDefault="00BA5194" w:rsidP="008B569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</w:rPr>
      </w:pPr>
      <w:proofErr w:type="spellStart"/>
      <w:r w:rsidRPr="00AC15AF">
        <w:rPr>
          <w:rFonts w:asciiTheme="minorHAnsi" w:hAnsiTheme="minorHAnsi" w:cs="Tahoma"/>
          <w:color w:val="000000"/>
        </w:rPr>
        <w:t>omrežnina</w:t>
      </w:r>
      <w:proofErr w:type="spellEnd"/>
      <w:r w:rsidRPr="00AC15AF">
        <w:rPr>
          <w:rFonts w:asciiTheme="minorHAnsi" w:hAnsiTheme="minorHAnsi" w:cs="Tahoma"/>
          <w:color w:val="000000"/>
        </w:rPr>
        <w:t xml:space="preserve">:  </w:t>
      </w:r>
      <w:r w:rsidRPr="00AC15AF">
        <w:rPr>
          <w:rFonts w:asciiTheme="minorHAnsi" w:hAnsiTheme="minorHAnsi" w:cs="Tahoma"/>
        </w:rPr>
        <w:t xml:space="preserve"> 0,1039 EUR/enoto na mesec</w:t>
      </w:r>
    </w:p>
    <w:p w:rsidR="00BA5194" w:rsidRPr="00AC15AF" w:rsidRDefault="00BA5194" w:rsidP="008B5691">
      <w:pPr>
        <w:spacing w:line="276" w:lineRule="auto"/>
        <w:jc w:val="both"/>
        <w:rPr>
          <w:rFonts w:asciiTheme="minorHAnsi" w:eastAsia="Times New Roman" w:hAnsiTheme="minorHAnsi" w:cs="Tahoma"/>
          <w:bCs/>
          <w:lang w:eastAsia="sl-SI"/>
        </w:rPr>
      </w:pPr>
    </w:p>
    <w:p w:rsidR="000532D4" w:rsidRDefault="000532D4" w:rsidP="008B5691">
      <w:pPr>
        <w:jc w:val="both"/>
      </w:pPr>
    </w:p>
    <w:sectPr w:rsidR="00053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66" w:rsidRDefault="00DE0866" w:rsidP="00BA5194">
      <w:r>
        <w:separator/>
      </w:r>
    </w:p>
  </w:endnote>
  <w:endnote w:type="continuationSeparator" w:id="0">
    <w:p w:rsidR="00DE0866" w:rsidRDefault="00DE0866" w:rsidP="00BA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66" w:rsidRDefault="00DE0866" w:rsidP="00BA5194">
      <w:r>
        <w:separator/>
      </w:r>
    </w:p>
  </w:footnote>
  <w:footnote w:type="continuationSeparator" w:id="0">
    <w:p w:rsidR="00DE0866" w:rsidRDefault="00DE0866" w:rsidP="00BA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2363"/>
    <w:multiLevelType w:val="hybridMultilevel"/>
    <w:tmpl w:val="74C2A884"/>
    <w:lvl w:ilvl="0" w:tplc="64D6C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94CC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6D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CF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AEA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F85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64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E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683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63"/>
    <w:rsid w:val="00027737"/>
    <w:rsid w:val="000532D4"/>
    <w:rsid w:val="00134F59"/>
    <w:rsid w:val="0016420C"/>
    <w:rsid w:val="00205098"/>
    <w:rsid w:val="002A0156"/>
    <w:rsid w:val="002B0EA7"/>
    <w:rsid w:val="002C3FDF"/>
    <w:rsid w:val="003C0BFC"/>
    <w:rsid w:val="003E0109"/>
    <w:rsid w:val="00415863"/>
    <w:rsid w:val="00435F42"/>
    <w:rsid w:val="006504DA"/>
    <w:rsid w:val="00690241"/>
    <w:rsid w:val="007A5B2A"/>
    <w:rsid w:val="008B5691"/>
    <w:rsid w:val="008E0417"/>
    <w:rsid w:val="00924146"/>
    <w:rsid w:val="00971D9E"/>
    <w:rsid w:val="00990179"/>
    <w:rsid w:val="009B4C6C"/>
    <w:rsid w:val="00A32E26"/>
    <w:rsid w:val="00AC15AF"/>
    <w:rsid w:val="00BA5194"/>
    <w:rsid w:val="00BD4B1D"/>
    <w:rsid w:val="00CA31E9"/>
    <w:rsid w:val="00D34A5D"/>
    <w:rsid w:val="00DE0866"/>
    <w:rsid w:val="00E40907"/>
    <w:rsid w:val="00ED11A1"/>
    <w:rsid w:val="00F46387"/>
    <w:rsid w:val="00F74D5B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863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rsid w:val="00415863"/>
    <w:pPr>
      <w:spacing w:after="0" w:line="240" w:lineRule="auto"/>
    </w:pPr>
    <w:rPr>
      <w:rFonts w:ascii="Calibri" w:eastAsia="Times New Roman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134F5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4F5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4F59"/>
    <w:rPr>
      <w:rFonts w:ascii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4F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4F59"/>
    <w:rPr>
      <w:rFonts w:ascii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F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F5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E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1"/>
    <w:rsid w:val="00BA5194"/>
    <w:pPr>
      <w:spacing w:line="288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TelobesedilaZnak">
    <w:name w:val="Telo besedila Znak"/>
    <w:basedOn w:val="Privzetapisavaodstavka"/>
    <w:uiPriority w:val="99"/>
    <w:semiHidden/>
    <w:rsid w:val="00BA5194"/>
    <w:rPr>
      <w:rFonts w:ascii="Calibri" w:hAnsi="Calibri" w:cs="Times New Roman"/>
    </w:rPr>
  </w:style>
  <w:style w:type="character" w:customStyle="1" w:styleId="TelobesedilaZnak1">
    <w:name w:val="Telo besedila Znak1"/>
    <w:basedOn w:val="Privzetapisavaodstavka"/>
    <w:link w:val="Telobesedila"/>
    <w:rsid w:val="00BA5194"/>
    <w:rPr>
      <w:rFonts w:ascii="Tahoma" w:eastAsia="Times New Roman" w:hAnsi="Tahoma" w:cs="Times New Roman"/>
      <w:sz w:val="20"/>
      <w:szCs w:val="2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A5194"/>
    <w:pPr>
      <w:jc w:val="both"/>
    </w:pPr>
    <w:rPr>
      <w:rFonts w:ascii="Tahoma" w:hAnsi="Tahoma" w:cstheme="minorBid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A5194"/>
    <w:rPr>
      <w:rFonts w:ascii="Tahoma" w:hAnsi="Tahoma"/>
      <w:sz w:val="20"/>
      <w:szCs w:val="20"/>
    </w:rPr>
  </w:style>
  <w:style w:type="character" w:styleId="Sprotnaopomba-sklic">
    <w:name w:val="footnote reference"/>
    <w:basedOn w:val="Privzetapisavaodstavka"/>
    <w:semiHidden/>
    <w:unhideWhenUsed/>
    <w:rsid w:val="00BA5194"/>
    <w:rPr>
      <w:vertAlign w:val="superscript"/>
    </w:rPr>
  </w:style>
  <w:style w:type="paragraph" w:customStyle="1" w:styleId="Default">
    <w:name w:val="Default"/>
    <w:rsid w:val="00BA5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B56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691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B56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69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863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rsid w:val="00415863"/>
    <w:pPr>
      <w:spacing w:after="0" w:line="240" w:lineRule="auto"/>
    </w:pPr>
    <w:rPr>
      <w:rFonts w:ascii="Calibri" w:eastAsia="Times New Roman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134F5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4F5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4F59"/>
    <w:rPr>
      <w:rFonts w:ascii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4F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4F59"/>
    <w:rPr>
      <w:rFonts w:ascii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F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F5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E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1"/>
    <w:rsid w:val="00BA5194"/>
    <w:pPr>
      <w:spacing w:line="288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TelobesedilaZnak">
    <w:name w:val="Telo besedila Znak"/>
    <w:basedOn w:val="Privzetapisavaodstavka"/>
    <w:uiPriority w:val="99"/>
    <w:semiHidden/>
    <w:rsid w:val="00BA5194"/>
    <w:rPr>
      <w:rFonts w:ascii="Calibri" w:hAnsi="Calibri" w:cs="Times New Roman"/>
    </w:rPr>
  </w:style>
  <w:style w:type="character" w:customStyle="1" w:styleId="TelobesedilaZnak1">
    <w:name w:val="Telo besedila Znak1"/>
    <w:basedOn w:val="Privzetapisavaodstavka"/>
    <w:link w:val="Telobesedila"/>
    <w:rsid w:val="00BA5194"/>
    <w:rPr>
      <w:rFonts w:ascii="Tahoma" w:eastAsia="Times New Roman" w:hAnsi="Tahoma" w:cs="Times New Roman"/>
      <w:sz w:val="20"/>
      <w:szCs w:val="2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A5194"/>
    <w:pPr>
      <w:jc w:val="both"/>
    </w:pPr>
    <w:rPr>
      <w:rFonts w:ascii="Tahoma" w:hAnsi="Tahoma" w:cstheme="minorBid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A5194"/>
    <w:rPr>
      <w:rFonts w:ascii="Tahoma" w:hAnsi="Tahoma"/>
      <w:sz w:val="20"/>
      <w:szCs w:val="20"/>
    </w:rPr>
  </w:style>
  <w:style w:type="character" w:styleId="Sprotnaopomba-sklic">
    <w:name w:val="footnote reference"/>
    <w:basedOn w:val="Privzetapisavaodstavka"/>
    <w:semiHidden/>
    <w:unhideWhenUsed/>
    <w:rsid w:val="00BA5194"/>
    <w:rPr>
      <w:vertAlign w:val="superscript"/>
    </w:rPr>
  </w:style>
  <w:style w:type="paragraph" w:customStyle="1" w:styleId="Default">
    <w:name w:val="Default"/>
    <w:rsid w:val="00BA5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B56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691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B56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69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2014-03-31T07:22:00Z</dcterms:created>
  <dcterms:modified xsi:type="dcterms:W3CDTF">2014-03-31T14:29:00Z</dcterms:modified>
</cp:coreProperties>
</file>