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75" w:rsidRDefault="00C34A75" w:rsidP="00100111">
      <w:pPr>
        <w:spacing w:after="0" w:line="276" w:lineRule="auto"/>
        <w:jc w:val="left"/>
        <w:rPr>
          <w:rFonts w:eastAsia="Times New Roman" w:cs="Tahoma"/>
          <w:b/>
          <w:color w:val="000000"/>
          <w:sz w:val="24"/>
          <w:szCs w:val="24"/>
          <w:lang w:eastAsia="sl-SI"/>
        </w:rPr>
      </w:pPr>
      <w:bookmarkStart w:id="0" w:name="_GoBack"/>
      <w:bookmarkEnd w:id="0"/>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Pr="00464CA5" w:rsidRDefault="00C34A75" w:rsidP="00C34A75">
      <w:pPr>
        <w:spacing w:after="0" w:line="276" w:lineRule="auto"/>
        <w:jc w:val="left"/>
        <w:rPr>
          <w:rFonts w:eastAsia="Times New Roman" w:cs="Tahoma"/>
          <w:b/>
          <w:color w:val="000000"/>
          <w:sz w:val="24"/>
          <w:szCs w:val="24"/>
          <w:lang w:eastAsia="sl-SI"/>
        </w:rPr>
      </w:pPr>
      <w:r w:rsidRPr="00464CA5">
        <w:rPr>
          <w:rFonts w:eastAsia="Times New Roman" w:cs="Tahoma"/>
          <w:b/>
          <w:color w:val="000000"/>
          <w:sz w:val="24"/>
          <w:szCs w:val="24"/>
          <w:lang w:eastAsia="sl-SI"/>
        </w:rPr>
        <w:t>OBLIKOVANJE CEN OBVEZNIH GOSPODARSKIH JAVNIH SLUŽB PO UREDBI O METODOLOGIJI ZA OBLIKOVANJE CEN STORITEV OBVEZNIH OČINSKIH GOSPODARSKIH JAVNIH SLUŽB VARSTVA OKOLJA</w:t>
      </w:r>
    </w:p>
    <w:p w:rsidR="00C34A75" w:rsidRDefault="00C34A75" w:rsidP="00C34A75">
      <w:pPr>
        <w:spacing w:line="276" w:lineRule="auto"/>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C34A75" w:rsidRDefault="00C34A75" w:rsidP="00100111">
      <w:pPr>
        <w:spacing w:after="0" w:line="276" w:lineRule="auto"/>
        <w:jc w:val="left"/>
        <w:rPr>
          <w:rFonts w:eastAsia="Times New Roman" w:cs="Tahoma"/>
          <w:b/>
          <w:color w:val="000000"/>
          <w:sz w:val="24"/>
          <w:szCs w:val="24"/>
          <w:lang w:eastAsia="sl-SI"/>
        </w:rPr>
      </w:pPr>
    </w:p>
    <w:p w:rsidR="00F52583" w:rsidRPr="00464CA5" w:rsidRDefault="00C34A75" w:rsidP="00100111">
      <w:pPr>
        <w:spacing w:after="0" w:line="276" w:lineRule="auto"/>
        <w:jc w:val="left"/>
        <w:rPr>
          <w:rFonts w:eastAsia="Times New Roman" w:cs="Tahoma"/>
          <w:b/>
          <w:color w:val="000000"/>
          <w:sz w:val="24"/>
          <w:szCs w:val="24"/>
          <w:lang w:eastAsia="sl-SI"/>
        </w:rPr>
      </w:pPr>
      <w:r>
        <w:rPr>
          <w:rFonts w:eastAsia="Times New Roman" w:cs="Tahoma"/>
          <w:b/>
          <w:color w:val="000000"/>
          <w:sz w:val="24"/>
          <w:szCs w:val="24"/>
          <w:lang w:eastAsia="sl-SI"/>
        </w:rPr>
        <w:lastRenderedPageBreak/>
        <w:t>UVOD</w:t>
      </w:r>
    </w:p>
    <w:p w:rsidR="00F52583" w:rsidRDefault="00F52583" w:rsidP="00100111">
      <w:pPr>
        <w:spacing w:line="276" w:lineRule="auto"/>
      </w:pPr>
    </w:p>
    <w:p w:rsidR="00396B50" w:rsidRPr="001F3A30" w:rsidRDefault="00396B50" w:rsidP="00100111">
      <w:pPr>
        <w:spacing w:line="276" w:lineRule="auto"/>
      </w:pPr>
      <w:r w:rsidRPr="001F3A30">
        <w:t xml:space="preserve">Skladno </w:t>
      </w:r>
      <w:r w:rsidRPr="00C34A75">
        <w:rPr>
          <w:b/>
        </w:rPr>
        <w:t xml:space="preserve">z Uredbo o metodologiji za oblikovanje cen storitev obveznih občinskih gospodarskih javnih služb varstva okolja in njeno dopolnitvijo </w:t>
      </w:r>
      <w:r>
        <w:t>(v nadaljevanju: Uredba</w:t>
      </w:r>
      <w:r w:rsidRPr="001F3A30">
        <w:t xml:space="preserve">), je </w:t>
      </w:r>
      <w:r>
        <w:t xml:space="preserve">JAVNO PODJETJE VODOVOD-KANALIZACIJA d.o.o. </w:t>
      </w:r>
      <w:r w:rsidRPr="001F3A30">
        <w:t xml:space="preserve">(v nadaljevanju: </w:t>
      </w:r>
      <w:r>
        <w:t>VO-KA</w:t>
      </w:r>
      <w:r w:rsidRPr="00E73E50">
        <w:t>)</w:t>
      </w:r>
      <w:r>
        <w:t xml:space="preserve"> pripravila: </w:t>
      </w:r>
    </w:p>
    <w:p w:rsidR="00396B50" w:rsidRDefault="00396B50" w:rsidP="00100111">
      <w:pPr>
        <w:pStyle w:val="naevanje"/>
        <w:spacing w:line="276" w:lineRule="auto"/>
      </w:pPr>
      <w:r>
        <w:t>izračun</w:t>
      </w:r>
      <w:r w:rsidRPr="005F39CB">
        <w:t xml:space="preserve"> </w:t>
      </w:r>
      <w:r>
        <w:t xml:space="preserve">cen </w:t>
      </w:r>
      <w:r w:rsidRPr="005F39CB">
        <w:t xml:space="preserve">gospodarske javne službe </w:t>
      </w:r>
      <w:r>
        <w:t>oskrbe s pitno vodo</w:t>
      </w:r>
    </w:p>
    <w:p w:rsidR="00396B50" w:rsidRDefault="00396B50" w:rsidP="00100111">
      <w:pPr>
        <w:pStyle w:val="naevanje"/>
        <w:spacing w:line="276" w:lineRule="auto"/>
      </w:pPr>
      <w:r>
        <w:t>izračun</w:t>
      </w:r>
      <w:r w:rsidRPr="005F39CB">
        <w:t xml:space="preserve"> cen gospodarske javne službe </w:t>
      </w:r>
      <w:r>
        <w:t>odvajanje in čiščenje komunalne in padavinske odpadne vode (v nadalj</w:t>
      </w:r>
      <w:r w:rsidR="000C3531">
        <w:t>evanju: odvajanje odpadne vode)</w:t>
      </w:r>
    </w:p>
    <w:p w:rsidR="000C3531" w:rsidRPr="000C3531" w:rsidRDefault="000C3531" w:rsidP="00100111">
      <w:pPr>
        <w:spacing w:line="276" w:lineRule="auto"/>
      </w:pPr>
      <w:r>
        <w:t>in izdelalo Elaborat o oblikovanju cen storitev gospodarskih javnih služb (GJS) oskrbe s pitno vodo in odvajanja in čiščenja komunalne in padavinske odpadne vode za Mestno občino Ljubljana in občine Brezovica, Dobrova-Polhov Gradec, Dol pri Ljubljani, Horjul, Medvode in Škofljica.</w:t>
      </w:r>
    </w:p>
    <w:p w:rsidR="009C7C6D" w:rsidRPr="002D0BAD" w:rsidRDefault="00464CA5" w:rsidP="002D0BAD">
      <w:pPr>
        <w:spacing w:line="276" w:lineRule="auto"/>
      </w:pPr>
      <w:r>
        <w:t>Pri obračunu gre za usklajevanje načina obračuna z zgoraj navedeno Uredbo, pri čemer prihodki družbe ostajajo</w:t>
      </w:r>
      <w:r w:rsidR="000C3531">
        <w:t xml:space="preserve"> praktično na isti ravni.</w:t>
      </w:r>
      <w:r w:rsidR="002D0BAD" w:rsidRPr="002D0BAD">
        <w:rPr>
          <w:rFonts w:asciiTheme="minorHAnsi" w:eastAsiaTheme="minorEastAsia" w:hAnsi="Frutiger"/>
          <w:color w:val="000000" w:themeColor="text1"/>
          <w:sz w:val="32"/>
          <w:szCs w:val="32"/>
          <w:lang w:eastAsia="sl-SI"/>
        </w:rPr>
        <w:t xml:space="preserve"> </w:t>
      </w:r>
      <w:r w:rsidR="002D0BAD">
        <w:t>S</w:t>
      </w:r>
      <w:r w:rsidR="00D23B5D" w:rsidRPr="002D0BAD">
        <w:t xml:space="preserve">troški, ki jih predpisuje Uredba (padavinska voda, </w:t>
      </w:r>
      <w:proofErr w:type="spellStart"/>
      <w:r w:rsidR="00D23B5D" w:rsidRPr="002D0BAD">
        <w:t>omrežnina</w:t>
      </w:r>
      <w:proofErr w:type="spellEnd"/>
      <w:r w:rsidR="002D0BAD">
        <w:t xml:space="preserve"> itd.</w:t>
      </w:r>
      <w:r w:rsidR="00D23B5D" w:rsidRPr="002D0BAD">
        <w:t>) so bi</w:t>
      </w:r>
      <w:r w:rsidR="002D0BAD">
        <w:t>li že do sedaj vključeni v ceno, u</w:t>
      </w:r>
      <w:r w:rsidR="00D23B5D" w:rsidRPr="002D0BAD">
        <w:t>redba</w:t>
      </w:r>
      <w:r w:rsidR="002D0BAD">
        <w:t xml:space="preserve"> pa</w:t>
      </w:r>
      <w:r w:rsidR="00D23B5D" w:rsidRPr="002D0BAD">
        <w:t xml:space="preserve"> predpisuje drugačno porazdelitev elementov cene</w:t>
      </w:r>
      <w:r w:rsidR="002D0BAD">
        <w:t>.</w:t>
      </w:r>
    </w:p>
    <w:p w:rsidR="00C34A75" w:rsidRDefault="00C34A75" w:rsidP="00100111">
      <w:pPr>
        <w:spacing w:line="276" w:lineRule="auto"/>
      </w:pPr>
    </w:p>
    <w:tbl>
      <w:tblPr>
        <w:tblStyle w:val="Tabelamre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70"/>
        <w:gridCol w:w="3071"/>
        <w:gridCol w:w="3071"/>
      </w:tblGrid>
      <w:tr w:rsidR="000C3531" w:rsidTr="005827AE">
        <w:tc>
          <w:tcPr>
            <w:tcW w:w="3070" w:type="dxa"/>
          </w:tcPr>
          <w:p w:rsidR="000C3531" w:rsidRPr="0099702A" w:rsidRDefault="000C3531" w:rsidP="00464CA5">
            <w:pPr>
              <w:rPr>
                <w:b/>
                <w:sz w:val="16"/>
                <w:szCs w:val="16"/>
              </w:rPr>
            </w:pPr>
            <w:r w:rsidRPr="0099702A">
              <w:rPr>
                <w:b/>
                <w:sz w:val="16"/>
                <w:szCs w:val="16"/>
              </w:rPr>
              <w:t>Leto</w:t>
            </w:r>
          </w:p>
        </w:tc>
        <w:tc>
          <w:tcPr>
            <w:tcW w:w="3071" w:type="dxa"/>
          </w:tcPr>
          <w:p w:rsidR="000C3531" w:rsidRPr="0099702A" w:rsidRDefault="000C3531" w:rsidP="00464CA5">
            <w:pPr>
              <w:rPr>
                <w:b/>
                <w:sz w:val="16"/>
                <w:szCs w:val="16"/>
              </w:rPr>
            </w:pPr>
            <w:r w:rsidRPr="0099702A">
              <w:rPr>
                <w:b/>
                <w:sz w:val="16"/>
                <w:szCs w:val="16"/>
              </w:rPr>
              <w:t>2012</w:t>
            </w:r>
          </w:p>
        </w:tc>
        <w:tc>
          <w:tcPr>
            <w:tcW w:w="3071" w:type="dxa"/>
          </w:tcPr>
          <w:p w:rsidR="000C3531" w:rsidRPr="0099702A" w:rsidRDefault="000C3531" w:rsidP="00464CA5">
            <w:pPr>
              <w:rPr>
                <w:b/>
                <w:sz w:val="16"/>
                <w:szCs w:val="16"/>
              </w:rPr>
            </w:pPr>
            <w:r w:rsidRPr="0099702A">
              <w:rPr>
                <w:b/>
                <w:sz w:val="16"/>
                <w:szCs w:val="16"/>
              </w:rPr>
              <w:t>2014</w:t>
            </w:r>
          </w:p>
        </w:tc>
      </w:tr>
      <w:tr w:rsidR="000C3531" w:rsidTr="005827AE">
        <w:tc>
          <w:tcPr>
            <w:tcW w:w="3070" w:type="dxa"/>
          </w:tcPr>
          <w:p w:rsidR="000C3531" w:rsidRPr="0099702A" w:rsidRDefault="000C3531" w:rsidP="00464CA5">
            <w:pPr>
              <w:rPr>
                <w:sz w:val="16"/>
                <w:szCs w:val="16"/>
              </w:rPr>
            </w:pPr>
            <w:r w:rsidRPr="0099702A">
              <w:rPr>
                <w:sz w:val="16"/>
                <w:szCs w:val="16"/>
              </w:rPr>
              <w:t>Skupaj prihodki VO-KA</w:t>
            </w:r>
          </w:p>
        </w:tc>
        <w:tc>
          <w:tcPr>
            <w:tcW w:w="3071" w:type="dxa"/>
          </w:tcPr>
          <w:p w:rsidR="000C3531" w:rsidRPr="0099702A" w:rsidRDefault="000C3531" w:rsidP="00464CA5">
            <w:pPr>
              <w:rPr>
                <w:sz w:val="16"/>
                <w:szCs w:val="16"/>
              </w:rPr>
            </w:pPr>
            <w:r w:rsidRPr="0099702A">
              <w:rPr>
                <w:sz w:val="16"/>
                <w:szCs w:val="16"/>
              </w:rPr>
              <w:t>32.742.435 EUR</w:t>
            </w:r>
          </w:p>
        </w:tc>
        <w:tc>
          <w:tcPr>
            <w:tcW w:w="3071" w:type="dxa"/>
          </w:tcPr>
          <w:p w:rsidR="000C3531" w:rsidRPr="0099702A" w:rsidRDefault="000C3531" w:rsidP="00464CA5">
            <w:pPr>
              <w:rPr>
                <w:sz w:val="16"/>
                <w:szCs w:val="16"/>
              </w:rPr>
            </w:pPr>
            <w:r w:rsidRPr="0099702A">
              <w:rPr>
                <w:sz w:val="16"/>
                <w:szCs w:val="16"/>
              </w:rPr>
              <w:t>32.759.215 EUR</w:t>
            </w:r>
          </w:p>
        </w:tc>
      </w:tr>
    </w:tbl>
    <w:p w:rsidR="00396B50" w:rsidRPr="009043E5" w:rsidRDefault="00396B50" w:rsidP="00396B50">
      <w:pPr>
        <w:pStyle w:val="malerke-eur"/>
      </w:pPr>
    </w:p>
    <w:p w:rsidR="00C34A75" w:rsidRDefault="00C34A75" w:rsidP="00100111">
      <w:pPr>
        <w:spacing w:line="276" w:lineRule="auto"/>
      </w:pPr>
    </w:p>
    <w:p w:rsidR="00C34A75" w:rsidRPr="00C34A75" w:rsidRDefault="00C34A75" w:rsidP="00C34A75">
      <w:pPr>
        <w:spacing w:line="276" w:lineRule="auto"/>
      </w:pPr>
      <w:r>
        <w:t>Vlada je Uredbo sprejela decembra 2012. Uredba, ki je začela veljati 1. januarja 2013 predpisuje upravljavcem sistem</w:t>
      </w:r>
      <w:r w:rsidR="002D0BAD">
        <w:t>a</w:t>
      </w:r>
      <w:r>
        <w:t xml:space="preserve"> za oskrbo, da </w:t>
      </w:r>
      <w:r w:rsidRPr="00C34A75">
        <w:rPr>
          <w:bCs/>
        </w:rPr>
        <w:t>najkasneje 1. aprila 2014</w:t>
      </w:r>
      <w:r w:rsidRPr="00C34A75">
        <w:t xml:space="preserve"> </w:t>
      </w:r>
      <w:r>
        <w:t xml:space="preserve">začne </w:t>
      </w:r>
      <w:r w:rsidRPr="00C34A75">
        <w:t xml:space="preserve">uporabnikom zaračunavati storitve GJS v skladu s </w:t>
      </w:r>
      <w:r w:rsidR="002D0BAD">
        <w:t xml:space="preserve">potrjenimi cenami iz Elaborata, ki ga potrjujejo lastniki (lokalne skupnosti). Elaborat so na seji 14. marca 2014 obravnavali člani Sveta ustanoviteljev in po obravnavi sprejeli sklep, da </w:t>
      </w:r>
      <w:r w:rsidR="00913885">
        <w:t>V</w:t>
      </w:r>
      <w:r w:rsidR="002D0BAD">
        <w:t>ladi predlagajo podaljšan rok za uveljavitev cen po Uredbi, zaradi dodatnih predlogov, ki so navedeni v nadaljevanju gradiva.</w:t>
      </w:r>
    </w:p>
    <w:p w:rsidR="00E61272" w:rsidRDefault="00E61272" w:rsidP="00100111">
      <w:pPr>
        <w:spacing w:line="276" w:lineRule="auto"/>
      </w:pPr>
    </w:p>
    <w:p w:rsidR="00E61272" w:rsidRDefault="00E61272" w:rsidP="00100111">
      <w:pPr>
        <w:spacing w:after="0" w:line="276" w:lineRule="auto"/>
        <w:rPr>
          <w:b/>
        </w:rPr>
      </w:pPr>
      <w:r>
        <w:rPr>
          <w:b/>
        </w:rPr>
        <w:t>GOSPODARSKA JAVNA SLUŽBA OSKRBE</w:t>
      </w:r>
      <w:r w:rsidRPr="00207E1B">
        <w:rPr>
          <w:b/>
        </w:rPr>
        <w:t xml:space="preserve"> S PITNO VODO</w:t>
      </w:r>
    </w:p>
    <w:p w:rsidR="00E61272" w:rsidRDefault="00E61272" w:rsidP="00100111">
      <w:pPr>
        <w:spacing w:after="0" w:line="276" w:lineRule="auto"/>
        <w:rPr>
          <w:b/>
        </w:rPr>
      </w:pPr>
    </w:p>
    <w:p w:rsidR="00E61272" w:rsidRPr="00207E1B" w:rsidRDefault="00E61272" w:rsidP="00100111">
      <w:pPr>
        <w:spacing w:after="0" w:line="276" w:lineRule="auto"/>
      </w:pPr>
      <w:r w:rsidRPr="00207E1B">
        <w:t xml:space="preserve">Po </w:t>
      </w:r>
      <w:r>
        <w:t>trenutno</w:t>
      </w:r>
      <w:r w:rsidRPr="00207E1B">
        <w:t xml:space="preserve"> </w:t>
      </w:r>
      <w:r w:rsidRPr="00207E1B">
        <w:rPr>
          <w:b/>
        </w:rPr>
        <w:t>veljavnem ceniku</w:t>
      </w:r>
      <w:r w:rsidRPr="00207E1B">
        <w:t xml:space="preserve"> </w:t>
      </w:r>
      <w:r>
        <w:t>imajo</w:t>
      </w:r>
      <w:r w:rsidRPr="00207E1B">
        <w:t xml:space="preserve"> uporabniki storitve oskrbe s pitno vodo na računu postavke:</w:t>
      </w:r>
    </w:p>
    <w:p w:rsidR="00E61272" w:rsidRPr="00207E1B" w:rsidRDefault="00E61272" w:rsidP="00100111">
      <w:pPr>
        <w:numPr>
          <w:ilvl w:val="0"/>
          <w:numId w:val="3"/>
        </w:numPr>
        <w:spacing w:after="0" w:line="276" w:lineRule="auto"/>
      </w:pPr>
      <w:proofErr w:type="spellStart"/>
      <w:r>
        <w:t>o</w:t>
      </w:r>
      <w:r w:rsidRPr="00207E1B">
        <w:t>mrežnina</w:t>
      </w:r>
      <w:proofErr w:type="spellEnd"/>
      <w:r>
        <w:t>,</w:t>
      </w:r>
    </w:p>
    <w:p w:rsidR="00E61272" w:rsidRPr="00207E1B" w:rsidRDefault="00E61272" w:rsidP="00100111">
      <w:pPr>
        <w:numPr>
          <w:ilvl w:val="0"/>
          <w:numId w:val="3"/>
        </w:numPr>
        <w:spacing w:after="0" w:line="276" w:lineRule="auto"/>
      </w:pPr>
      <w:r w:rsidRPr="00207E1B">
        <w:t>vodarina</w:t>
      </w:r>
      <w:r>
        <w:t>,</w:t>
      </w:r>
      <w:r w:rsidRPr="00207E1B">
        <w:t xml:space="preserve"> </w:t>
      </w:r>
    </w:p>
    <w:p w:rsidR="00E61272" w:rsidRPr="00207E1B" w:rsidRDefault="00E61272" w:rsidP="00100111">
      <w:pPr>
        <w:numPr>
          <w:ilvl w:val="0"/>
          <w:numId w:val="3"/>
        </w:numPr>
        <w:spacing w:after="0" w:line="276" w:lineRule="auto"/>
      </w:pPr>
      <w:r w:rsidRPr="00207E1B">
        <w:t>vzdrževalnina</w:t>
      </w:r>
      <w:r>
        <w:t>,</w:t>
      </w:r>
    </w:p>
    <w:p w:rsidR="00E61272" w:rsidRPr="00207E1B" w:rsidRDefault="00E61272" w:rsidP="00100111">
      <w:pPr>
        <w:numPr>
          <w:ilvl w:val="0"/>
          <w:numId w:val="3"/>
        </w:numPr>
        <w:spacing w:after="0" w:line="276" w:lineRule="auto"/>
      </w:pPr>
      <w:proofErr w:type="spellStart"/>
      <w:r w:rsidRPr="00207E1B">
        <w:t>števčnina</w:t>
      </w:r>
      <w:proofErr w:type="spellEnd"/>
      <w:r>
        <w:t xml:space="preserve"> in</w:t>
      </w:r>
    </w:p>
    <w:p w:rsidR="00E61272" w:rsidRDefault="00E61272" w:rsidP="00100111">
      <w:pPr>
        <w:numPr>
          <w:ilvl w:val="0"/>
          <w:numId w:val="3"/>
        </w:numPr>
        <w:spacing w:after="0" w:line="276" w:lineRule="auto"/>
      </w:pPr>
      <w:r w:rsidRPr="00207E1B">
        <w:t>vodno povračilo</w:t>
      </w:r>
      <w:r>
        <w:t>.</w:t>
      </w:r>
    </w:p>
    <w:p w:rsidR="00E61272" w:rsidRDefault="00E61272" w:rsidP="002D0BAD">
      <w:pPr>
        <w:spacing w:after="0" w:line="276" w:lineRule="auto"/>
        <w:ind w:left="720"/>
      </w:pPr>
    </w:p>
    <w:p w:rsidR="00E61272" w:rsidRPr="0045239A" w:rsidRDefault="00E61272" w:rsidP="00100111">
      <w:pPr>
        <w:spacing w:after="0" w:line="276" w:lineRule="auto"/>
      </w:pPr>
      <w:r w:rsidRPr="007543BD">
        <w:rPr>
          <w:u w:val="single"/>
        </w:rPr>
        <w:lastRenderedPageBreak/>
        <w:t>Vodarina</w:t>
      </w:r>
      <w:r>
        <w:rPr>
          <w:b/>
        </w:rPr>
        <w:t xml:space="preserve"> </w:t>
      </w:r>
      <w:r w:rsidRPr="00DC1E60">
        <w:t>v</w:t>
      </w:r>
      <w:r w:rsidRPr="00207E1B">
        <w:t>ključuje stroške opravljanja storitve javne službe oskrbe s pitno vodo in se obračunava na dobavljeno količino pitne vode.</w:t>
      </w:r>
      <w:r>
        <w:t xml:space="preserve"> </w:t>
      </w:r>
      <w:proofErr w:type="spellStart"/>
      <w:r w:rsidRPr="007543BD">
        <w:rPr>
          <w:u w:val="single"/>
        </w:rPr>
        <w:t>Omrežnina</w:t>
      </w:r>
      <w:proofErr w:type="spellEnd"/>
      <w:r w:rsidRPr="007543BD">
        <w:t xml:space="preserve"> </w:t>
      </w:r>
      <w:r w:rsidRPr="00DC1E60">
        <w:t>v</w:t>
      </w:r>
      <w:r w:rsidRPr="00207E1B">
        <w:t>ključuje stroške javne infrastrukture oskrbe s pitno vodo. Obračunava se na zmogljivost priključka, ki je določena s premerom vodomera.</w:t>
      </w:r>
      <w:r>
        <w:t xml:space="preserve"> </w:t>
      </w:r>
      <w:r w:rsidRPr="00E61272">
        <w:rPr>
          <w:u w:val="single"/>
        </w:rPr>
        <w:t xml:space="preserve">Vzdrževalnina in </w:t>
      </w:r>
      <w:proofErr w:type="spellStart"/>
      <w:r w:rsidRPr="00E61272">
        <w:rPr>
          <w:u w:val="single"/>
        </w:rPr>
        <w:t>števčnina</w:t>
      </w:r>
      <w:proofErr w:type="spellEnd"/>
      <w:r>
        <w:rPr>
          <w:u w:val="single"/>
        </w:rPr>
        <w:t xml:space="preserve"> </w:t>
      </w:r>
      <w:r w:rsidR="0045239A" w:rsidRPr="0045239A">
        <w:t>vključuje</w:t>
      </w:r>
      <w:r w:rsidR="00913885">
        <w:t>ta</w:t>
      </w:r>
      <w:r w:rsidR="0045239A" w:rsidRPr="0045239A">
        <w:t xml:space="preserve"> vzdrževanje in obnovo vodovodnih priključkov.</w:t>
      </w:r>
    </w:p>
    <w:p w:rsidR="00E61272" w:rsidRDefault="00E61272" w:rsidP="00100111">
      <w:pPr>
        <w:spacing w:after="0" w:line="276" w:lineRule="auto"/>
      </w:pPr>
    </w:p>
    <w:p w:rsidR="00E61272" w:rsidRPr="00207E1B" w:rsidRDefault="00E61272" w:rsidP="00100111">
      <w:pPr>
        <w:spacing w:after="0" w:line="276" w:lineRule="auto"/>
      </w:pPr>
      <w:r w:rsidRPr="00207E1B">
        <w:rPr>
          <w:b/>
        </w:rPr>
        <w:t>Po novem ceniku</w:t>
      </w:r>
      <w:r w:rsidRPr="00207E1B">
        <w:t xml:space="preserve"> bo uporabnik za storitve oskrbe s pitno vodo na račun</w:t>
      </w:r>
      <w:r w:rsidR="00913885">
        <w:t>u</w:t>
      </w:r>
      <w:r w:rsidRPr="00207E1B">
        <w:t xml:space="preserve"> imel samo dve postavki:</w:t>
      </w:r>
    </w:p>
    <w:p w:rsidR="00E61272" w:rsidRPr="00207E1B" w:rsidRDefault="00E61272" w:rsidP="00100111">
      <w:pPr>
        <w:numPr>
          <w:ilvl w:val="0"/>
          <w:numId w:val="3"/>
        </w:numPr>
        <w:spacing w:after="0" w:line="276" w:lineRule="auto"/>
      </w:pPr>
      <w:r w:rsidRPr="00207E1B">
        <w:t xml:space="preserve">vodarina </w:t>
      </w:r>
      <w:r>
        <w:t>in</w:t>
      </w:r>
    </w:p>
    <w:p w:rsidR="00E61272" w:rsidRDefault="00E61272" w:rsidP="00100111">
      <w:pPr>
        <w:numPr>
          <w:ilvl w:val="0"/>
          <w:numId w:val="3"/>
        </w:numPr>
        <w:spacing w:after="0" w:line="276" w:lineRule="auto"/>
      </w:pPr>
      <w:proofErr w:type="spellStart"/>
      <w:r w:rsidRPr="00207E1B">
        <w:t>omrežnina</w:t>
      </w:r>
      <w:proofErr w:type="spellEnd"/>
      <w:r>
        <w:t>.</w:t>
      </w:r>
      <w:r w:rsidRPr="00207E1B">
        <w:t xml:space="preserve"> </w:t>
      </w:r>
    </w:p>
    <w:p w:rsidR="00E61272" w:rsidRPr="00207E1B" w:rsidRDefault="00E61272" w:rsidP="00100111">
      <w:pPr>
        <w:spacing w:after="0" w:line="276" w:lineRule="auto"/>
        <w:ind w:left="720"/>
      </w:pPr>
    </w:p>
    <w:p w:rsidR="00E61272" w:rsidRDefault="00E61272" w:rsidP="00100111">
      <w:pPr>
        <w:spacing w:after="0" w:line="276" w:lineRule="auto"/>
      </w:pPr>
      <w:r w:rsidRPr="007543BD">
        <w:rPr>
          <w:u w:val="single"/>
        </w:rPr>
        <w:t>Vodarina po Uredbi vključuje</w:t>
      </w:r>
      <w:r w:rsidRPr="00207E1B">
        <w:t xml:space="preserve"> poleg stroška opravljana storitve oskrbe s pitno vodo</w:t>
      </w:r>
      <w:r>
        <w:t>,</w:t>
      </w:r>
      <w:r w:rsidRPr="00207E1B">
        <w:t xml:space="preserve"> tudi </w:t>
      </w:r>
      <w:r w:rsidRPr="007543BD">
        <w:t>strošek vodnega povračila</w:t>
      </w:r>
      <w:r>
        <w:t xml:space="preserve">, ki je trenutno </w:t>
      </w:r>
      <w:r w:rsidRPr="00207E1B">
        <w:t xml:space="preserve">ločena postavka </w:t>
      </w:r>
      <w:r w:rsidR="0045239A">
        <w:t>na računu in predstavlja dajatev državi</w:t>
      </w:r>
      <w:r w:rsidRPr="00207E1B">
        <w:t xml:space="preserve">. </w:t>
      </w:r>
      <w:r>
        <w:t>Po novem bo</w:t>
      </w:r>
      <w:r w:rsidR="0045239A">
        <w:t>,</w:t>
      </w:r>
      <w:r>
        <w:t xml:space="preserve"> v skladu  z Uredbo</w:t>
      </w:r>
      <w:r w:rsidR="0045239A">
        <w:t>,</w:t>
      </w:r>
      <w:r>
        <w:t xml:space="preserve"> </w:t>
      </w:r>
      <w:r w:rsidRPr="00207E1B">
        <w:t>cen</w:t>
      </w:r>
      <w:r>
        <w:t xml:space="preserve">i </w:t>
      </w:r>
      <w:r w:rsidRPr="00207E1B">
        <w:t xml:space="preserve">vodarine </w:t>
      </w:r>
      <w:r>
        <w:t xml:space="preserve">prištet še </w:t>
      </w:r>
      <w:r w:rsidRPr="00207E1B">
        <w:t>znesek vodnega povračila</w:t>
      </w:r>
      <w:r>
        <w:t>. Vodarina po novem ceniku, zmanjša</w:t>
      </w:r>
      <w:r w:rsidR="00100111">
        <w:t>na</w:t>
      </w:r>
      <w:r>
        <w:t xml:space="preserve"> za znesek vodnega povračila, po </w:t>
      </w:r>
      <w:r w:rsidRPr="00207E1B">
        <w:t xml:space="preserve">Uredbi </w:t>
      </w:r>
      <w:r>
        <w:t xml:space="preserve">ostaja </w:t>
      </w:r>
      <w:r w:rsidRPr="00207E1B">
        <w:t xml:space="preserve">skoraj </w:t>
      </w:r>
      <w:r>
        <w:t>na isti ravni, kot znaša po trenutno veljavnem ceniku.</w:t>
      </w:r>
    </w:p>
    <w:p w:rsidR="00100111" w:rsidRDefault="00100111" w:rsidP="00E61272">
      <w:pPr>
        <w:spacing w:after="0"/>
      </w:pPr>
    </w:p>
    <w:tbl>
      <w:tblPr>
        <w:tblStyle w:val="Tabelamrea"/>
        <w:tblW w:w="0" w:type="auto"/>
        <w:tblLook w:val="04A0" w:firstRow="1" w:lastRow="0" w:firstColumn="1" w:lastColumn="0" w:noHBand="0" w:noVBand="1"/>
      </w:tblPr>
      <w:tblGrid>
        <w:gridCol w:w="1842"/>
        <w:gridCol w:w="1842"/>
        <w:gridCol w:w="1842"/>
        <w:gridCol w:w="1843"/>
        <w:gridCol w:w="1843"/>
      </w:tblGrid>
      <w:tr w:rsidR="0099702A" w:rsidTr="0099702A">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9702A" w:rsidRDefault="0099702A" w:rsidP="00E61272">
            <w:pPr>
              <w:spacing w:after="0"/>
            </w:pPr>
          </w:p>
        </w:tc>
        <w:tc>
          <w:tcPr>
            <w:tcW w:w="36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9702A" w:rsidRPr="0099702A" w:rsidRDefault="0099702A" w:rsidP="0099702A">
            <w:pPr>
              <w:spacing w:after="0"/>
              <w:rPr>
                <w:b/>
                <w:sz w:val="16"/>
                <w:szCs w:val="16"/>
              </w:rPr>
            </w:pPr>
            <w:r w:rsidRPr="0099702A">
              <w:rPr>
                <w:b/>
                <w:sz w:val="16"/>
                <w:szCs w:val="16"/>
              </w:rPr>
              <w:t>Veljavne cene - na računu</w:t>
            </w:r>
          </w:p>
        </w:tc>
        <w:tc>
          <w:tcPr>
            <w:tcW w:w="36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9702A" w:rsidRPr="0099702A" w:rsidRDefault="0099702A" w:rsidP="0099702A">
            <w:pPr>
              <w:spacing w:after="0"/>
              <w:rPr>
                <w:b/>
                <w:sz w:val="16"/>
                <w:szCs w:val="16"/>
              </w:rPr>
            </w:pPr>
            <w:r w:rsidRPr="0099702A">
              <w:rPr>
                <w:b/>
                <w:sz w:val="16"/>
                <w:szCs w:val="16"/>
              </w:rPr>
              <w:t>Predlagane cene 2014</w:t>
            </w:r>
          </w:p>
        </w:tc>
      </w:tr>
      <w:tr w:rsidR="0045239A" w:rsidTr="0099702A">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239A" w:rsidRPr="0099702A" w:rsidRDefault="0045239A" w:rsidP="00E61272">
            <w:pPr>
              <w:spacing w:after="0"/>
              <w:rPr>
                <w:sz w:val="16"/>
                <w:szCs w:val="16"/>
              </w:rPr>
            </w:pPr>
            <w:r w:rsidRPr="0099702A">
              <w:rPr>
                <w:sz w:val="16"/>
                <w:szCs w:val="16"/>
              </w:rPr>
              <w:t>vodarina</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239A" w:rsidRPr="0099702A" w:rsidRDefault="0045239A" w:rsidP="00E61272">
            <w:pPr>
              <w:spacing w:after="0"/>
              <w:rPr>
                <w:sz w:val="16"/>
                <w:szCs w:val="16"/>
              </w:rPr>
            </w:pPr>
            <w:r w:rsidRPr="0099702A">
              <w:rPr>
                <w:sz w:val="16"/>
                <w:szCs w:val="16"/>
              </w:rPr>
              <w:t>EUR/m</w:t>
            </w:r>
            <w:r w:rsidRPr="0099702A">
              <w:rPr>
                <w:rFonts w:cs="Tahoma"/>
                <w:sz w:val="16"/>
                <w:szCs w:val="16"/>
              </w:rPr>
              <w:t>³</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239A" w:rsidRPr="0099702A" w:rsidRDefault="0045239A" w:rsidP="00E61272">
            <w:pPr>
              <w:spacing w:after="0"/>
              <w:rPr>
                <w:sz w:val="16"/>
                <w:szCs w:val="16"/>
              </w:rPr>
            </w:pPr>
            <w:r w:rsidRPr="0099702A">
              <w:rPr>
                <w:sz w:val="16"/>
                <w:szCs w:val="16"/>
              </w:rPr>
              <w:t>0,4547</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239A" w:rsidRPr="00100111" w:rsidRDefault="00100111" w:rsidP="00E61272">
            <w:pPr>
              <w:spacing w:after="0"/>
              <w:rPr>
                <w:sz w:val="18"/>
                <w:szCs w:val="18"/>
              </w:rPr>
            </w:pPr>
            <w:r w:rsidRPr="00100111">
              <w:rPr>
                <w:sz w:val="18"/>
                <w:szCs w:val="18"/>
              </w:rPr>
              <w:t>EUR/m</w:t>
            </w:r>
            <w:r w:rsidRPr="00100111">
              <w:rPr>
                <w:rFonts w:cs="Tahoma"/>
                <w:sz w:val="18"/>
                <w:szCs w:val="18"/>
              </w:rPr>
              <w:t>³</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239A" w:rsidRPr="00100111" w:rsidRDefault="00100111" w:rsidP="00E61272">
            <w:pPr>
              <w:spacing w:after="0"/>
              <w:rPr>
                <w:b/>
                <w:sz w:val="18"/>
                <w:szCs w:val="18"/>
              </w:rPr>
            </w:pPr>
            <w:r w:rsidRPr="00100111">
              <w:rPr>
                <w:b/>
                <w:sz w:val="18"/>
                <w:szCs w:val="18"/>
              </w:rPr>
              <w:t>0,5469</w:t>
            </w:r>
          </w:p>
        </w:tc>
      </w:tr>
      <w:tr w:rsidR="0045239A" w:rsidTr="005827AE">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239A" w:rsidRPr="0099702A" w:rsidRDefault="00913885" w:rsidP="00E61272">
            <w:pPr>
              <w:spacing w:after="0"/>
              <w:rPr>
                <w:sz w:val="16"/>
                <w:szCs w:val="16"/>
              </w:rPr>
            </w:pPr>
            <w:r w:rsidRPr="0099702A">
              <w:rPr>
                <w:sz w:val="16"/>
                <w:szCs w:val="16"/>
              </w:rPr>
              <w:t>v</w:t>
            </w:r>
            <w:r w:rsidR="0045239A" w:rsidRPr="0099702A">
              <w:rPr>
                <w:sz w:val="16"/>
                <w:szCs w:val="16"/>
              </w:rPr>
              <w:t>odno povračilo</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239A" w:rsidRPr="0099702A" w:rsidRDefault="0045239A" w:rsidP="00E61272">
            <w:pPr>
              <w:spacing w:after="0"/>
              <w:rPr>
                <w:sz w:val="16"/>
                <w:szCs w:val="16"/>
              </w:rPr>
            </w:pPr>
            <w:r w:rsidRPr="0099702A">
              <w:rPr>
                <w:sz w:val="16"/>
                <w:szCs w:val="16"/>
              </w:rPr>
              <w:t>EUR/m</w:t>
            </w:r>
            <w:r w:rsidRPr="0099702A">
              <w:rPr>
                <w:rFonts w:cs="Tahoma"/>
                <w:sz w:val="16"/>
                <w:szCs w:val="16"/>
              </w:rPr>
              <w:t>³</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239A" w:rsidRPr="0099702A" w:rsidRDefault="0045239A" w:rsidP="00E61272">
            <w:pPr>
              <w:spacing w:after="0"/>
              <w:rPr>
                <w:sz w:val="16"/>
                <w:szCs w:val="16"/>
              </w:rPr>
            </w:pPr>
            <w:r w:rsidRPr="0099702A">
              <w:rPr>
                <w:sz w:val="16"/>
                <w:szCs w:val="16"/>
              </w:rPr>
              <w:t>0,0855</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239A" w:rsidRPr="00100111" w:rsidRDefault="00100111" w:rsidP="00E61272">
            <w:pPr>
              <w:spacing w:after="0"/>
              <w:rPr>
                <w:sz w:val="18"/>
                <w:szCs w:val="18"/>
              </w:rPr>
            </w:pPr>
            <w:r w:rsidRPr="00100111">
              <w:rPr>
                <w:sz w:val="18"/>
                <w:szCs w:val="18"/>
              </w:rPr>
              <w:t>EUR/m</w:t>
            </w:r>
            <w:r w:rsidRPr="00100111">
              <w:rPr>
                <w:rFonts w:cs="Tahoma"/>
                <w:sz w:val="18"/>
                <w:szCs w:val="18"/>
              </w:rPr>
              <w:t>³</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239A" w:rsidRPr="00752432" w:rsidRDefault="0099702A" w:rsidP="00100111">
            <w:pPr>
              <w:spacing w:after="0"/>
              <w:rPr>
                <w:sz w:val="16"/>
                <w:szCs w:val="16"/>
              </w:rPr>
            </w:pPr>
            <w:r>
              <w:rPr>
                <w:sz w:val="16"/>
                <w:szCs w:val="16"/>
              </w:rPr>
              <w:t>v</w:t>
            </w:r>
            <w:r w:rsidR="00100111" w:rsidRPr="00752432">
              <w:rPr>
                <w:sz w:val="16"/>
                <w:szCs w:val="16"/>
              </w:rPr>
              <w:t>ključeno</w:t>
            </w:r>
            <w:r w:rsidR="00752432" w:rsidRPr="00752432">
              <w:rPr>
                <w:sz w:val="16"/>
                <w:szCs w:val="16"/>
              </w:rPr>
              <w:t xml:space="preserve"> </w:t>
            </w:r>
            <w:r w:rsidR="00100111" w:rsidRPr="00752432">
              <w:rPr>
                <w:sz w:val="16"/>
                <w:szCs w:val="16"/>
              </w:rPr>
              <w:t>v vodarino</w:t>
            </w:r>
          </w:p>
        </w:tc>
      </w:tr>
      <w:tr w:rsidR="0045239A" w:rsidTr="005827AE">
        <w:tc>
          <w:tcPr>
            <w:tcW w:w="1842" w:type="dxa"/>
            <w:tcBorders>
              <w:top w:val="single" w:sz="4" w:space="0" w:color="808080" w:themeColor="background1" w:themeShade="80"/>
              <w:left w:val="nil"/>
              <w:bottom w:val="nil"/>
              <w:right w:val="single" w:sz="4" w:space="0" w:color="808080" w:themeColor="background1" w:themeShade="80"/>
            </w:tcBorders>
          </w:tcPr>
          <w:p w:rsidR="0045239A" w:rsidRPr="0099702A" w:rsidRDefault="0045239A" w:rsidP="00E61272">
            <w:pPr>
              <w:spacing w:after="0"/>
              <w:rPr>
                <w:sz w:val="16"/>
                <w:szCs w:val="16"/>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239A" w:rsidRPr="0099702A" w:rsidRDefault="0045239A" w:rsidP="00E61272">
            <w:pPr>
              <w:spacing w:after="0"/>
              <w:rPr>
                <w:b/>
                <w:sz w:val="16"/>
                <w:szCs w:val="16"/>
              </w:rPr>
            </w:pPr>
            <w:r w:rsidRPr="0099702A">
              <w:rPr>
                <w:b/>
                <w:sz w:val="16"/>
                <w:szCs w:val="16"/>
              </w:rPr>
              <w:t>SKUPAJ</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239A" w:rsidRPr="0099702A" w:rsidRDefault="0045239A" w:rsidP="00E61272">
            <w:pPr>
              <w:spacing w:after="0"/>
              <w:rPr>
                <w:b/>
                <w:sz w:val="16"/>
                <w:szCs w:val="16"/>
              </w:rPr>
            </w:pPr>
            <w:r w:rsidRPr="0099702A">
              <w:rPr>
                <w:b/>
                <w:sz w:val="16"/>
                <w:szCs w:val="16"/>
              </w:rPr>
              <w:t>0,5402</w:t>
            </w:r>
          </w:p>
        </w:tc>
        <w:tc>
          <w:tcPr>
            <w:tcW w:w="1843" w:type="dxa"/>
            <w:tcBorders>
              <w:top w:val="single" w:sz="4" w:space="0" w:color="808080" w:themeColor="background1" w:themeShade="80"/>
              <w:left w:val="single" w:sz="4" w:space="0" w:color="808080" w:themeColor="background1" w:themeShade="80"/>
              <w:bottom w:val="nil"/>
              <w:right w:val="nil"/>
            </w:tcBorders>
          </w:tcPr>
          <w:p w:rsidR="0045239A" w:rsidRDefault="0045239A" w:rsidP="00E61272">
            <w:pPr>
              <w:spacing w:after="0"/>
            </w:pPr>
          </w:p>
        </w:tc>
        <w:tc>
          <w:tcPr>
            <w:tcW w:w="1843" w:type="dxa"/>
            <w:tcBorders>
              <w:top w:val="single" w:sz="4" w:space="0" w:color="808080" w:themeColor="background1" w:themeShade="80"/>
              <w:left w:val="nil"/>
              <w:bottom w:val="nil"/>
              <w:right w:val="nil"/>
            </w:tcBorders>
          </w:tcPr>
          <w:p w:rsidR="0045239A" w:rsidRDefault="0045239A" w:rsidP="00E61272">
            <w:pPr>
              <w:spacing w:after="0"/>
            </w:pPr>
          </w:p>
        </w:tc>
      </w:tr>
    </w:tbl>
    <w:p w:rsidR="00E61272" w:rsidRDefault="00E61272" w:rsidP="00E61272">
      <w:pPr>
        <w:spacing w:after="0"/>
      </w:pPr>
    </w:p>
    <w:p w:rsidR="00E61272" w:rsidRDefault="00E61272" w:rsidP="00E61272">
      <w:pPr>
        <w:spacing w:after="0"/>
        <w:rPr>
          <w:b/>
        </w:rPr>
      </w:pPr>
    </w:p>
    <w:p w:rsidR="00E61272" w:rsidRDefault="00E61272" w:rsidP="00752432">
      <w:pPr>
        <w:spacing w:after="0" w:line="276" w:lineRule="auto"/>
        <w:rPr>
          <w:b/>
        </w:rPr>
      </w:pPr>
      <w:proofErr w:type="spellStart"/>
      <w:r w:rsidRPr="00207E1B">
        <w:rPr>
          <w:b/>
        </w:rPr>
        <w:t>Omrežnina</w:t>
      </w:r>
      <w:proofErr w:type="spellEnd"/>
      <w:r>
        <w:rPr>
          <w:b/>
        </w:rPr>
        <w:t>:</w:t>
      </w:r>
    </w:p>
    <w:p w:rsidR="00E61272" w:rsidRDefault="00E61272" w:rsidP="00752432">
      <w:pPr>
        <w:pStyle w:val="Odstavekseznama"/>
        <w:numPr>
          <w:ilvl w:val="0"/>
          <w:numId w:val="7"/>
        </w:numPr>
        <w:spacing w:after="0" w:line="276" w:lineRule="auto"/>
      </w:pPr>
      <w:r>
        <w:t>se t</w:t>
      </w:r>
      <w:r w:rsidRPr="00840A6B">
        <w:t>renutno</w:t>
      </w:r>
      <w:r>
        <w:t xml:space="preserve"> </w:t>
      </w:r>
      <w:r w:rsidRPr="00840A6B">
        <w:t xml:space="preserve">obračunava za </w:t>
      </w:r>
      <w:r w:rsidRPr="00840A6B">
        <w:rPr>
          <w:u w:val="single"/>
        </w:rPr>
        <w:t>posamezno stavbo</w:t>
      </w:r>
      <w:r w:rsidRPr="00840A6B">
        <w:t xml:space="preserve"> glede </w:t>
      </w:r>
      <w:r>
        <w:t>na premer obračunskega vodomera</w:t>
      </w:r>
      <w:r w:rsidR="00913885">
        <w:t>;</w:t>
      </w:r>
    </w:p>
    <w:p w:rsidR="00E61272" w:rsidRDefault="00E61272" w:rsidP="00752432">
      <w:pPr>
        <w:pStyle w:val="Odstavekseznama"/>
        <w:numPr>
          <w:ilvl w:val="0"/>
          <w:numId w:val="7"/>
        </w:numPr>
        <w:spacing w:after="0" w:line="276" w:lineRule="auto"/>
      </w:pPr>
      <w:r w:rsidRPr="00840A6B">
        <w:rPr>
          <w:u w:val="single"/>
        </w:rPr>
        <w:t>po Uredbi</w:t>
      </w:r>
      <w:r w:rsidRPr="00207E1B">
        <w:t xml:space="preserve"> se </w:t>
      </w:r>
      <w:r>
        <w:t>bo</w:t>
      </w:r>
    </w:p>
    <w:p w:rsidR="00E61272" w:rsidRDefault="00E61272" w:rsidP="00752432">
      <w:pPr>
        <w:pStyle w:val="Odstavekseznama"/>
        <w:numPr>
          <w:ilvl w:val="1"/>
          <w:numId w:val="7"/>
        </w:numPr>
        <w:spacing w:after="0" w:line="276" w:lineRule="auto"/>
      </w:pPr>
      <w:r>
        <w:t xml:space="preserve">v </w:t>
      </w:r>
      <w:r w:rsidRPr="00207E1B">
        <w:t>enostanovanjsk</w:t>
      </w:r>
      <w:r>
        <w:t>ih</w:t>
      </w:r>
      <w:r w:rsidR="00100111">
        <w:t xml:space="preserve"> </w:t>
      </w:r>
      <w:r w:rsidRPr="00207E1B">
        <w:t>stavb</w:t>
      </w:r>
      <w:r w:rsidR="00100111">
        <w:t>ah - hišah</w:t>
      </w:r>
      <w:r w:rsidRPr="00207E1B">
        <w:t xml:space="preserve"> še vedno obračunava</w:t>
      </w:r>
      <w:r>
        <w:t>la</w:t>
      </w:r>
      <w:r w:rsidRPr="00207E1B">
        <w:t xml:space="preserve"> glede na premer obračunskega vodomera</w:t>
      </w:r>
      <w:r>
        <w:t>;</w:t>
      </w:r>
    </w:p>
    <w:p w:rsidR="00E61272" w:rsidRPr="00207E1B" w:rsidRDefault="00E61272" w:rsidP="00752432">
      <w:pPr>
        <w:pStyle w:val="Odstavekseznama"/>
        <w:numPr>
          <w:ilvl w:val="1"/>
          <w:numId w:val="7"/>
        </w:numPr>
        <w:spacing w:after="0" w:line="276" w:lineRule="auto"/>
      </w:pPr>
      <w:r w:rsidRPr="00040015">
        <w:t>v večstanovanjskih stavbah</w:t>
      </w:r>
      <w:r w:rsidR="00100111">
        <w:t xml:space="preserve"> se bo</w:t>
      </w:r>
      <w:r>
        <w:t xml:space="preserve"> obračunala za </w:t>
      </w:r>
      <w:r w:rsidRPr="00040015">
        <w:t xml:space="preserve">vsako stanovanjsko enoto s faktorjem </w:t>
      </w:r>
      <w:proofErr w:type="spellStart"/>
      <w:r w:rsidRPr="00040015">
        <w:t>omrežnine</w:t>
      </w:r>
      <w:proofErr w:type="spellEnd"/>
      <w:r w:rsidRPr="00040015">
        <w:t xml:space="preserve"> 1</w:t>
      </w:r>
      <w:r w:rsidRPr="00840A6B">
        <w:rPr>
          <w:b/>
        </w:rPr>
        <w:t xml:space="preserve"> </w:t>
      </w:r>
      <w:r w:rsidRPr="00207E1B">
        <w:t>(enako kot v enostanovanjski hiši).</w:t>
      </w:r>
    </w:p>
    <w:p w:rsidR="000C74A3" w:rsidRDefault="000C74A3" w:rsidP="00752432">
      <w:pPr>
        <w:spacing w:after="0" w:line="276" w:lineRule="auto"/>
      </w:pPr>
    </w:p>
    <w:p w:rsidR="00E61272" w:rsidRDefault="00E61272" w:rsidP="00752432">
      <w:pPr>
        <w:spacing w:after="0" w:line="276" w:lineRule="auto"/>
      </w:pPr>
      <w:proofErr w:type="spellStart"/>
      <w:r w:rsidRPr="00207E1B">
        <w:t>Omrežnina</w:t>
      </w:r>
      <w:proofErr w:type="spellEnd"/>
      <w:r w:rsidRPr="00207E1B">
        <w:t xml:space="preserve"> se za faktor </w:t>
      </w:r>
      <w:proofErr w:type="spellStart"/>
      <w:r w:rsidRPr="00207E1B">
        <w:t>omrežnine</w:t>
      </w:r>
      <w:proofErr w:type="spellEnd"/>
      <w:r w:rsidRPr="00207E1B">
        <w:t xml:space="preserve"> 1 dobi tako, da se strošek </w:t>
      </w:r>
      <w:proofErr w:type="spellStart"/>
      <w:r w:rsidRPr="00207E1B">
        <w:t>omrežnine</w:t>
      </w:r>
      <w:proofErr w:type="spellEnd"/>
      <w:r w:rsidRPr="00207E1B">
        <w:t xml:space="preserve"> deli z vsoto faktorjev </w:t>
      </w:r>
      <w:proofErr w:type="spellStart"/>
      <w:r w:rsidRPr="00207E1B">
        <w:t>omrežnin</w:t>
      </w:r>
      <w:proofErr w:type="spellEnd"/>
      <w:r w:rsidRPr="00207E1B">
        <w:t xml:space="preserve">. Pred Uredbo je bila vsota enaka številu faktorjev glede na velikost vodomera in število vodomerov </w:t>
      </w:r>
      <w:r w:rsidRPr="00840A6B">
        <w:t>(vsota faktorjev = 118.073)</w:t>
      </w:r>
      <w:r w:rsidRPr="00207E1B">
        <w:t xml:space="preserve">. Po Uredbi se je vsota </w:t>
      </w:r>
      <w:proofErr w:type="spellStart"/>
      <w:r w:rsidRPr="00207E1B">
        <w:t>omrežnin</w:t>
      </w:r>
      <w:proofErr w:type="spellEnd"/>
      <w:r>
        <w:t>,</w:t>
      </w:r>
      <w:r w:rsidRPr="00207E1B">
        <w:t xml:space="preserve"> zaradi obračuna </w:t>
      </w:r>
      <w:proofErr w:type="spellStart"/>
      <w:r w:rsidRPr="00207E1B">
        <w:t>omrežnin</w:t>
      </w:r>
      <w:proofErr w:type="spellEnd"/>
      <w:r w:rsidRPr="00207E1B">
        <w:t xml:space="preserve"> v večstanovanjskih stavbah (obračun na enoto)</w:t>
      </w:r>
      <w:r>
        <w:t>,</w:t>
      </w:r>
      <w:r w:rsidRPr="00207E1B">
        <w:t xml:space="preserve"> bistveno povečala </w:t>
      </w:r>
      <w:r w:rsidRPr="00DA3848">
        <w:t>(vsota faktorjev = 188.249)</w:t>
      </w:r>
      <w:r>
        <w:t>, z</w:t>
      </w:r>
      <w:r w:rsidRPr="00207E1B">
        <w:t xml:space="preserve">aradi tega </w:t>
      </w:r>
      <w:r>
        <w:t xml:space="preserve">pa se </w:t>
      </w:r>
      <w:r w:rsidRPr="00207E1B">
        <w:t xml:space="preserve">je zmanjšal strošek </w:t>
      </w:r>
      <w:proofErr w:type="spellStart"/>
      <w:r w:rsidRPr="00207E1B">
        <w:t>omrežnine</w:t>
      </w:r>
      <w:proofErr w:type="spellEnd"/>
      <w:r w:rsidRPr="00207E1B">
        <w:t xml:space="preserve"> za osnovni faktor – faktor </w:t>
      </w:r>
      <w:proofErr w:type="spellStart"/>
      <w:r w:rsidRPr="00207E1B">
        <w:t>omrežnine</w:t>
      </w:r>
      <w:proofErr w:type="spellEnd"/>
      <w:r w:rsidRPr="00207E1B">
        <w:t xml:space="preserve"> 1.</w:t>
      </w:r>
    </w:p>
    <w:p w:rsidR="00752432" w:rsidRDefault="00752432" w:rsidP="00E61272">
      <w:pPr>
        <w:spacing w:after="0"/>
      </w:pPr>
    </w:p>
    <w:tbl>
      <w:tblPr>
        <w:tblStyle w:val="Tabelamre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93"/>
        <w:gridCol w:w="1701"/>
        <w:gridCol w:w="1732"/>
        <w:gridCol w:w="1843"/>
        <w:gridCol w:w="1843"/>
      </w:tblGrid>
      <w:tr w:rsidR="0099702A" w:rsidTr="005827AE">
        <w:tc>
          <w:tcPr>
            <w:tcW w:w="2093" w:type="dxa"/>
          </w:tcPr>
          <w:p w:rsidR="0099702A" w:rsidRDefault="0099702A" w:rsidP="00E61272">
            <w:pPr>
              <w:spacing w:after="0"/>
            </w:pPr>
          </w:p>
        </w:tc>
        <w:tc>
          <w:tcPr>
            <w:tcW w:w="3433" w:type="dxa"/>
            <w:gridSpan w:val="2"/>
          </w:tcPr>
          <w:p w:rsidR="0099702A" w:rsidRPr="0099702A" w:rsidRDefault="0099702A" w:rsidP="0099702A">
            <w:pPr>
              <w:spacing w:after="0"/>
              <w:rPr>
                <w:b/>
                <w:sz w:val="16"/>
                <w:szCs w:val="16"/>
              </w:rPr>
            </w:pPr>
            <w:r w:rsidRPr="0099702A">
              <w:rPr>
                <w:b/>
                <w:sz w:val="16"/>
                <w:szCs w:val="16"/>
              </w:rPr>
              <w:t>Veljavna cena - na računu</w:t>
            </w:r>
          </w:p>
        </w:tc>
        <w:tc>
          <w:tcPr>
            <w:tcW w:w="3686" w:type="dxa"/>
            <w:gridSpan w:val="2"/>
          </w:tcPr>
          <w:p w:rsidR="0099702A" w:rsidRPr="0099702A" w:rsidRDefault="0099702A" w:rsidP="0099702A">
            <w:pPr>
              <w:spacing w:after="0"/>
              <w:rPr>
                <w:b/>
                <w:sz w:val="16"/>
                <w:szCs w:val="16"/>
              </w:rPr>
            </w:pPr>
            <w:r w:rsidRPr="0099702A">
              <w:rPr>
                <w:b/>
                <w:sz w:val="16"/>
                <w:szCs w:val="16"/>
              </w:rPr>
              <w:t>Predlagana cena 2014</w:t>
            </w:r>
          </w:p>
        </w:tc>
      </w:tr>
      <w:tr w:rsidR="00752432" w:rsidRPr="00752432" w:rsidTr="005827AE">
        <w:tc>
          <w:tcPr>
            <w:tcW w:w="2093" w:type="dxa"/>
          </w:tcPr>
          <w:p w:rsidR="00752432" w:rsidRPr="0099702A" w:rsidRDefault="00752432" w:rsidP="00E61272">
            <w:pPr>
              <w:spacing w:after="0"/>
              <w:rPr>
                <w:sz w:val="16"/>
                <w:szCs w:val="16"/>
              </w:rPr>
            </w:pPr>
            <w:proofErr w:type="spellStart"/>
            <w:r w:rsidRPr="0099702A">
              <w:rPr>
                <w:sz w:val="16"/>
                <w:szCs w:val="16"/>
              </w:rPr>
              <w:t>Omrežnina</w:t>
            </w:r>
            <w:proofErr w:type="spellEnd"/>
            <w:r w:rsidRPr="0099702A">
              <w:rPr>
                <w:sz w:val="16"/>
                <w:szCs w:val="16"/>
              </w:rPr>
              <w:t xml:space="preserve"> za faktor 1</w:t>
            </w:r>
          </w:p>
        </w:tc>
        <w:tc>
          <w:tcPr>
            <w:tcW w:w="1701" w:type="dxa"/>
          </w:tcPr>
          <w:p w:rsidR="00752432" w:rsidRPr="0099702A" w:rsidRDefault="00752432" w:rsidP="00E61272">
            <w:pPr>
              <w:spacing w:after="0"/>
              <w:rPr>
                <w:sz w:val="16"/>
                <w:szCs w:val="16"/>
              </w:rPr>
            </w:pPr>
            <w:r w:rsidRPr="0099702A">
              <w:rPr>
                <w:sz w:val="16"/>
                <w:szCs w:val="16"/>
              </w:rPr>
              <w:t>EUR/mesec</w:t>
            </w:r>
          </w:p>
        </w:tc>
        <w:tc>
          <w:tcPr>
            <w:tcW w:w="1732" w:type="dxa"/>
          </w:tcPr>
          <w:p w:rsidR="00752432" w:rsidRPr="0099702A" w:rsidRDefault="00752432" w:rsidP="00E61272">
            <w:pPr>
              <w:spacing w:after="0"/>
              <w:rPr>
                <w:b/>
                <w:sz w:val="16"/>
                <w:szCs w:val="16"/>
              </w:rPr>
            </w:pPr>
            <w:r w:rsidRPr="0099702A">
              <w:rPr>
                <w:b/>
                <w:sz w:val="16"/>
                <w:szCs w:val="16"/>
              </w:rPr>
              <w:t>7,5615</w:t>
            </w:r>
          </w:p>
        </w:tc>
        <w:tc>
          <w:tcPr>
            <w:tcW w:w="1843" w:type="dxa"/>
          </w:tcPr>
          <w:p w:rsidR="00752432" w:rsidRPr="0099702A" w:rsidRDefault="00752432" w:rsidP="00941BA1">
            <w:pPr>
              <w:spacing w:after="0"/>
              <w:rPr>
                <w:sz w:val="16"/>
                <w:szCs w:val="16"/>
              </w:rPr>
            </w:pPr>
            <w:r w:rsidRPr="0099702A">
              <w:rPr>
                <w:sz w:val="16"/>
                <w:szCs w:val="16"/>
              </w:rPr>
              <w:t>EUR/mesec</w:t>
            </w:r>
          </w:p>
        </w:tc>
        <w:tc>
          <w:tcPr>
            <w:tcW w:w="1843" w:type="dxa"/>
          </w:tcPr>
          <w:p w:rsidR="00752432" w:rsidRPr="0099702A" w:rsidRDefault="00752432" w:rsidP="00E61272">
            <w:pPr>
              <w:spacing w:after="0"/>
              <w:rPr>
                <w:b/>
                <w:sz w:val="16"/>
                <w:szCs w:val="16"/>
              </w:rPr>
            </w:pPr>
            <w:r w:rsidRPr="0099702A">
              <w:rPr>
                <w:b/>
                <w:sz w:val="16"/>
                <w:szCs w:val="16"/>
              </w:rPr>
              <w:t>2,8457</w:t>
            </w:r>
          </w:p>
        </w:tc>
      </w:tr>
    </w:tbl>
    <w:p w:rsidR="00752432" w:rsidRDefault="00752432" w:rsidP="00E61272">
      <w:pPr>
        <w:spacing w:after="0"/>
        <w:rPr>
          <w:sz w:val="18"/>
          <w:szCs w:val="18"/>
        </w:rPr>
      </w:pPr>
    </w:p>
    <w:p w:rsidR="000C74A3" w:rsidRPr="00FE001E" w:rsidRDefault="000C74A3" w:rsidP="00E61272">
      <w:pPr>
        <w:spacing w:after="0"/>
      </w:pPr>
      <w:proofErr w:type="spellStart"/>
      <w:r w:rsidRPr="00FE001E">
        <w:t>Omrežnina</w:t>
      </w:r>
      <w:proofErr w:type="spellEnd"/>
      <w:r w:rsidRPr="00FE001E">
        <w:t xml:space="preserve"> </w:t>
      </w:r>
      <w:r w:rsidR="00FE001E" w:rsidRPr="00FE001E">
        <w:t xml:space="preserve">po Uredbi vključuje stroške </w:t>
      </w:r>
      <w:proofErr w:type="spellStart"/>
      <w:r w:rsidR="00FE001E" w:rsidRPr="00FE001E">
        <w:t>števčnine</w:t>
      </w:r>
      <w:proofErr w:type="spellEnd"/>
      <w:r w:rsidR="00FE001E" w:rsidRPr="00FE001E">
        <w:t xml:space="preserve"> in vzdrževalnine.</w:t>
      </w:r>
    </w:p>
    <w:p w:rsidR="00E61272" w:rsidRDefault="00E61272" w:rsidP="00E61272">
      <w:pPr>
        <w:spacing w:after="0"/>
      </w:pPr>
    </w:p>
    <w:p w:rsidR="001B22CC" w:rsidRDefault="001B22CC" w:rsidP="00E61272">
      <w:pPr>
        <w:spacing w:after="0"/>
      </w:pPr>
    </w:p>
    <w:p w:rsidR="000D4801" w:rsidRDefault="000D4801" w:rsidP="00995BE5">
      <w:pPr>
        <w:spacing w:after="0" w:line="276" w:lineRule="auto"/>
        <w:rPr>
          <w:b/>
        </w:rPr>
      </w:pPr>
    </w:p>
    <w:p w:rsidR="00E61272" w:rsidRPr="00207E1B" w:rsidRDefault="00E61272" w:rsidP="00995BE5">
      <w:pPr>
        <w:spacing w:after="0" w:line="276" w:lineRule="auto"/>
        <w:rPr>
          <w:b/>
        </w:rPr>
      </w:pPr>
      <w:r w:rsidRPr="00207E1B">
        <w:rPr>
          <w:b/>
        </w:rPr>
        <w:lastRenderedPageBreak/>
        <w:t>ODVAJANJE IN ČIŠČENJE KOMUNALNE IN PADAVINSKE ODPADNE VODE</w:t>
      </w:r>
    </w:p>
    <w:p w:rsidR="00E61272" w:rsidRDefault="00E61272" w:rsidP="00995BE5">
      <w:pPr>
        <w:spacing w:after="0" w:line="276" w:lineRule="auto"/>
      </w:pPr>
    </w:p>
    <w:p w:rsidR="001B22CC" w:rsidRDefault="00E61272" w:rsidP="00995BE5">
      <w:pPr>
        <w:spacing w:after="0" w:line="276" w:lineRule="auto"/>
      </w:pPr>
      <w:r>
        <w:t xml:space="preserve">Skupni stroški izvajanja storitev in stroški </w:t>
      </w:r>
      <w:proofErr w:type="spellStart"/>
      <w:r>
        <w:t>omrežnine</w:t>
      </w:r>
      <w:proofErr w:type="spellEnd"/>
      <w:r>
        <w:t xml:space="preserve"> se delijo med posamezne skupine uporabnikov. Za storitev odvajanja se med posamezne skupine uporabnikov stroški delijo</w:t>
      </w:r>
      <w:r w:rsidR="001B22CC">
        <w:t xml:space="preserve">:  </w:t>
      </w:r>
      <w:r>
        <w:t>odvajanje komunalne odpadne vode, odv</w:t>
      </w:r>
      <w:r w:rsidR="001B22CC">
        <w:t>ajanje padavinske vode s streh in</w:t>
      </w:r>
      <w:r>
        <w:t xml:space="preserve"> odva</w:t>
      </w:r>
      <w:r w:rsidR="001B22CC">
        <w:t>janje industrijske odpadne vode.</w:t>
      </w:r>
    </w:p>
    <w:p w:rsidR="00E61272" w:rsidRDefault="00E61272" w:rsidP="00995BE5">
      <w:pPr>
        <w:spacing w:after="0" w:line="276" w:lineRule="auto"/>
      </w:pPr>
      <w:r>
        <w:t>Za storitev čiščenja se med posamezne skupine uporabnikov stroški delijo</w:t>
      </w:r>
      <w:r w:rsidR="001B22CC">
        <w:t xml:space="preserve">: </w:t>
      </w:r>
      <w:r>
        <w:t>čiščenje komunalne odpadne v</w:t>
      </w:r>
      <w:r w:rsidR="001B22CC">
        <w:t>ode, čiščenje padavinske vode s</w:t>
      </w:r>
      <w:r>
        <w:t xml:space="preserve"> streh, čiščenje industrijske odpadne vode in storitve povezane z greznicami in </w:t>
      </w:r>
      <w:r w:rsidR="000C74A3">
        <w:t>malimi komunalnimi čistilnimi napravami (</w:t>
      </w:r>
      <w:r>
        <w:t>MKČN</w:t>
      </w:r>
      <w:r w:rsidR="000C74A3">
        <w:t>)</w:t>
      </w:r>
      <w:r w:rsidR="001B22CC">
        <w:t xml:space="preserve">. </w:t>
      </w:r>
    </w:p>
    <w:p w:rsidR="000D4801" w:rsidRDefault="000D4801" w:rsidP="00995BE5">
      <w:pPr>
        <w:spacing w:after="0" w:line="276" w:lineRule="auto"/>
      </w:pPr>
    </w:p>
    <w:p w:rsidR="00E61272" w:rsidRDefault="00E61272" w:rsidP="00995BE5">
      <w:pPr>
        <w:spacing w:after="0" w:line="276" w:lineRule="auto"/>
      </w:pPr>
    </w:p>
    <w:p w:rsidR="00E61272" w:rsidRDefault="00E61272" w:rsidP="00995BE5">
      <w:pPr>
        <w:spacing w:after="0" w:line="276" w:lineRule="auto"/>
        <w:rPr>
          <w:b/>
          <w:u w:val="single"/>
        </w:rPr>
      </w:pPr>
      <w:r w:rsidRPr="001B22CC">
        <w:rPr>
          <w:b/>
          <w:u w:val="single"/>
        </w:rPr>
        <w:t>Obrazložitev obračunavanja cen po novem v primerjavi z dosedanjim načinom obračunavanja storitev</w:t>
      </w:r>
      <w:r w:rsidR="001B22CC" w:rsidRPr="001B22CC">
        <w:rPr>
          <w:b/>
          <w:u w:val="single"/>
        </w:rPr>
        <w:t>:</w:t>
      </w:r>
    </w:p>
    <w:p w:rsidR="00E61272" w:rsidRDefault="00E61272" w:rsidP="00995BE5">
      <w:pPr>
        <w:spacing w:after="0" w:line="276" w:lineRule="auto"/>
      </w:pPr>
    </w:p>
    <w:p w:rsidR="00E61272" w:rsidRDefault="00E61272" w:rsidP="00995BE5">
      <w:pPr>
        <w:spacing w:after="0" w:line="276" w:lineRule="auto"/>
        <w:rPr>
          <w:b/>
        </w:rPr>
      </w:pPr>
      <w:r w:rsidRPr="00B1191A">
        <w:rPr>
          <w:b/>
        </w:rPr>
        <w:t>Odvajanje komunalne odpadne vode in padavinske</w:t>
      </w:r>
      <w:r>
        <w:rPr>
          <w:b/>
        </w:rPr>
        <w:t xml:space="preserve"> odpadne </w:t>
      </w:r>
      <w:r w:rsidR="001B22CC">
        <w:rPr>
          <w:b/>
        </w:rPr>
        <w:t xml:space="preserve">vode </w:t>
      </w:r>
      <w:r w:rsidRPr="00B1191A">
        <w:rPr>
          <w:b/>
        </w:rPr>
        <w:t>z javnih površin</w:t>
      </w:r>
    </w:p>
    <w:p w:rsidR="001B22CC" w:rsidRPr="00B1191A" w:rsidRDefault="001B22CC" w:rsidP="00995BE5">
      <w:pPr>
        <w:spacing w:after="0" w:line="276" w:lineRule="auto"/>
        <w:rPr>
          <w:b/>
        </w:rPr>
      </w:pPr>
    </w:p>
    <w:p w:rsidR="00E61272" w:rsidRDefault="00E61272" w:rsidP="00995BE5">
      <w:pPr>
        <w:spacing w:after="0" w:line="276" w:lineRule="auto"/>
      </w:pPr>
      <w:r>
        <w:t>Trenutno se storitev odvajanja obračunava na podlagi količine dovedene pitne vode v m</w:t>
      </w:r>
      <w:r w:rsidRPr="000A09BF">
        <w:rPr>
          <w:vertAlign w:val="superscript"/>
        </w:rPr>
        <w:t>3</w:t>
      </w:r>
      <w:r>
        <w:t>, pri čemer so v ceni zajeti vsi stroški, tako s</w:t>
      </w:r>
      <w:r w:rsidRPr="00F52583">
        <w:t>troški javne infrastrukture in stroški opravljene storitve</w:t>
      </w:r>
      <w:r>
        <w:t xml:space="preserve">. Trenutno je v ceni zajet tudi strošek povezan z odvajanjem padavinske vode s streh, ki se bo po novem obračunal ločeno glede na odvedeno vodo s strehe. </w:t>
      </w:r>
    </w:p>
    <w:p w:rsidR="00E61272" w:rsidRDefault="00E61272" w:rsidP="00995BE5">
      <w:pPr>
        <w:spacing w:after="0" w:line="276" w:lineRule="auto"/>
      </w:pPr>
      <w:r>
        <w:t>P</w:t>
      </w:r>
      <w:r w:rsidRPr="00F52583">
        <w:t>o n</w:t>
      </w:r>
      <w:r>
        <w:t>o</w:t>
      </w:r>
      <w:r w:rsidRPr="00F52583">
        <w:t>vem</w:t>
      </w:r>
      <w:r>
        <w:t xml:space="preserve"> se bodo</w:t>
      </w:r>
      <w:r w:rsidRPr="00F52583">
        <w:t xml:space="preserve"> </w:t>
      </w:r>
      <w:r>
        <w:t>ločeno obračunavali</w:t>
      </w:r>
      <w:r w:rsidRPr="00F52583">
        <w:t xml:space="preserve"> </w:t>
      </w:r>
      <w:r>
        <w:t>stroški odvajanja po m</w:t>
      </w:r>
      <w:r w:rsidRPr="000A09BF">
        <w:rPr>
          <w:vertAlign w:val="superscript"/>
        </w:rPr>
        <w:t>3</w:t>
      </w:r>
      <w:r>
        <w:t xml:space="preserve"> in stroški </w:t>
      </w:r>
      <w:proofErr w:type="spellStart"/>
      <w:r>
        <w:t>omrežnine</w:t>
      </w:r>
      <w:proofErr w:type="spellEnd"/>
      <w:r>
        <w:t xml:space="preserve">, glede na število faktorjev </w:t>
      </w:r>
      <w:proofErr w:type="spellStart"/>
      <w:r>
        <w:t>omrežnine</w:t>
      </w:r>
      <w:proofErr w:type="spellEnd"/>
      <w:r>
        <w:t>:</w:t>
      </w:r>
    </w:p>
    <w:p w:rsidR="00E61272" w:rsidRDefault="00E61272" w:rsidP="00995BE5">
      <w:pPr>
        <w:spacing w:after="0" w:line="276" w:lineRule="auto"/>
      </w:pPr>
    </w:p>
    <w:tbl>
      <w:tblPr>
        <w:tblW w:w="808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blBorders>
        <w:tblCellMar>
          <w:left w:w="70" w:type="dxa"/>
          <w:right w:w="70" w:type="dxa"/>
        </w:tblCellMar>
        <w:tblLook w:val="04A0" w:firstRow="1" w:lastRow="0" w:firstColumn="1" w:lastColumn="0" w:noHBand="0" w:noVBand="1"/>
      </w:tblPr>
      <w:tblGrid>
        <w:gridCol w:w="516"/>
        <w:gridCol w:w="2886"/>
        <w:gridCol w:w="993"/>
        <w:gridCol w:w="1134"/>
        <w:gridCol w:w="1276"/>
        <w:gridCol w:w="1276"/>
      </w:tblGrid>
      <w:tr w:rsidR="00E61272" w:rsidRPr="00D364E8" w:rsidTr="00941BA1">
        <w:trPr>
          <w:trHeight w:val="227"/>
        </w:trPr>
        <w:tc>
          <w:tcPr>
            <w:tcW w:w="516" w:type="dxa"/>
            <w:tcBorders>
              <w:top w:val="single" w:sz="4" w:space="0" w:color="808080" w:themeColor="background1" w:themeShade="80"/>
              <w:bottom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288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A9296C" w:rsidRDefault="00E61272" w:rsidP="00995BE5">
            <w:pPr>
              <w:spacing w:after="0" w:line="276" w:lineRule="auto"/>
              <w:rPr>
                <w:rFonts w:eastAsia="Times New Roman" w:cs="Tahoma"/>
                <w:color w:val="000000"/>
                <w:sz w:val="16"/>
                <w:szCs w:val="16"/>
                <w:lang w:eastAsia="sl-SI"/>
              </w:rPr>
            </w:pPr>
          </w:p>
        </w:tc>
        <w:tc>
          <w:tcPr>
            <w:tcW w:w="21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BC7381" w:rsidRDefault="00E61272" w:rsidP="00995BE5">
            <w:pPr>
              <w:spacing w:after="0" w:line="276" w:lineRule="auto"/>
              <w:rPr>
                <w:rFonts w:eastAsia="Times New Roman" w:cs="Tahoma"/>
                <w:b/>
                <w:color w:val="000000"/>
                <w:sz w:val="16"/>
                <w:szCs w:val="16"/>
                <w:lang w:eastAsia="sl-SI"/>
              </w:rPr>
            </w:pPr>
            <w:r w:rsidRPr="00BC7381">
              <w:rPr>
                <w:rFonts w:eastAsia="Times New Roman" w:cs="Tahoma"/>
                <w:b/>
                <w:color w:val="000000"/>
                <w:sz w:val="16"/>
                <w:szCs w:val="16"/>
                <w:lang w:eastAsia="sl-SI"/>
              </w:rPr>
              <w:t>Veljavne cene - na računu</w:t>
            </w:r>
          </w:p>
        </w:tc>
        <w:tc>
          <w:tcPr>
            <w:tcW w:w="2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tcPr>
          <w:p w:rsidR="00E61272" w:rsidRPr="00BC7381" w:rsidRDefault="00E61272" w:rsidP="00995BE5">
            <w:pPr>
              <w:spacing w:after="0" w:line="276" w:lineRule="auto"/>
              <w:rPr>
                <w:rFonts w:eastAsia="Times New Roman" w:cs="Tahoma"/>
                <w:b/>
                <w:color w:val="000000"/>
                <w:sz w:val="16"/>
                <w:szCs w:val="16"/>
                <w:lang w:eastAsia="sl-SI"/>
              </w:rPr>
            </w:pPr>
            <w:r>
              <w:rPr>
                <w:rFonts w:eastAsia="Times New Roman" w:cs="Tahoma"/>
                <w:b/>
                <w:color w:val="000000"/>
                <w:sz w:val="16"/>
                <w:szCs w:val="16"/>
                <w:lang w:eastAsia="sl-SI"/>
              </w:rPr>
              <w:t>Predlagana</w:t>
            </w:r>
            <w:r w:rsidRPr="00BC7381">
              <w:rPr>
                <w:rFonts w:eastAsia="Times New Roman" w:cs="Tahoma"/>
                <w:b/>
                <w:color w:val="000000"/>
                <w:sz w:val="16"/>
                <w:szCs w:val="16"/>
                <w:lang w:eastAsia="sl-SI"/>
              </w:rPr>
              <w:t xml:space="preserve"> cena 2014</w:t>
            </w:r>
          </w:p>
        </w:tc>
      </w:tr>
      <w:tr w:rsidR="00E61272" w:rsidRPr="00D364E8" w:rsidTr="00941BA1">
        <w:trPr>
          <w:trHeight w:val="227"/>
        </w:trPr>
        <w:tc>
          <w:tcPr>
            <w:tcW w:w="516" w:type="dxa"/>
            <w:tcBorders>
              <w:top w:val="single" w:sz="4" w:space="0" w:color="808080" w:themeColor="background1" w:themeShade="80"/>
              <w:bottom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288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proofErr w:type="spellStart"/>
            <w:r w:rsidRPr="00D364E8">
              <w:rPr>
                <w:rFonts w:eastAsia="Times New Roman" w:cs="Tahoma"/>
                <w:sz w:val="16"/>
                <w:szCs w:val="16"/>
                <w:lang w:eastAsia="sl-SI"/>
              </w:rPr>
              <w:t>omrežnina</w:t>
            </w:r>
            <w:proofErr w:type="spellEnd"/>
          </w:p>
        </w:tc>
        <w:tc>
          <w:tcPr>
            <w:tcW w:w="99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noWrap/>
            <w:vAlign w:val="center"/>
          </w:tcPr>
          <w:p w:rsidR="00E61272" w:rsidRPr="00D364E8" w:rsidRDefault="00E61272" w:rsidP="00995BE5">
            <w:pPr>
              <w:spacing w:after="0" w:line="276" w:lineRule="auto"/>
              <w:rPr>
                <w:rFonts w:eastAsia="Times New Roman" w:cs="Tahoma"/>
                <w:sz w:val="16"/>
                <w:szCs w:val="16"/>
                <w:lang w:eastAsia="sl-SI"/>
              </w:rPr>
            </w:pPr>
            <w:r w:rsidRPr="00D364E8">
              <w:rPr>
                <w:rFonts w:eastAsia="Times New Roman" w:cs="Tahoma"/>
                <w:sz w:val="16"/>
                <w:szCs w:val="16"/>
                <w:lang w:eastAsia="sl-SI"/>
              </w:rPr>
              <w:t>EUR/m</w:t>
            </w:r>
            <w:r w:rsidRPr="000A09BF">
              <w:rPr>
                <w:rFonts w:eastAsia="Times New Roman" w:cs="Tahoma"/>
                <w:sz w:val="16"/>
                <w:szCs w:val="16"/>
                <w:vertAlign w:val="superscript"/>
                <w:lang w:eastAsia="sl-SI"/>
              </w:rPr>
              <w:t>3</w:t>
            </w:r>
          </w:p>
        </w:tc>
        <w:tc>
          <w:tcPr>
            <w:tcW w:w="113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noWrap/>
            <w:vAlign w:val="center"/>
          </w:tcPr>
          <w:p w:rsidR="00E61272" w:rsidRPr="00B1191A" w:rsidRDefault="00E61272" w:rsidP="00995BE5">
            <w:pPr>
              <w:spacing w:after="0" w:line="276" w:lineRule="auto"/>
              <w:rPr>
                <w:rFonts w:eastAsia="Times New Roman" w:cs="Tahoma"/>
                <w:b/>
                <w:color w:val="000000"/>
                <w:sz w:val="16"/>
                <w:szCs w:val="16"/>
                <w:lang w:eastAsia="sl-SI"/>
              </w:rPr>
            </w:pPr>
            <w:r w:rsidRPr="00B1191A">
              <w:rPr>
                <w:rFonts w:eastAsia="Times New Roman" w:cs="Tahoma"/>
                <w:b/>
                <w:color w:val="000000"/>
                <w:sz w:val="16"/>
                <w:szCs w:val="16"/>
                <w:lang w:eastAsia="sl-SI"/>
              </w:rPr>
              <w:t>0,2450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r w:rsidRPr="00D364E8">
              <w:rPr>
                <w:rFonts w:eastAsia="Times New Roman" w:cs="Tahoma"/>
                <w:sz w:val="16"/>
                <w:szCs w:val="16"/>
                <w:lang w:eastAsia="sl-SI"/>
              </w:rPr>
              <w:t>EUR/mesec</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b/>
                <w:color w:val="000000"/>
                <w:sz w:val="16"/>
                <w:szCs w:val="16"/>
                <w:lang w:eastAsia="sl-SI"/>
              </w:rPr>
            </w:pPr>
            <w:r w:rsidRPr="00D364E8">
              <w:rPr>
                <w:rFonts w:eastAsia="Times New Roman" w:cs="Tahoma"/>
                <w:b/>
                <w:color w:val="000000"/>
                <w:sz w:val="16"/>
                <w:szCs w:val="16"/>
                <w:lang w:eastAsia="sl-SI"/>
              </w:rPr>
              <w:t>1,7094</w:t>
            </w:r>
          </w:p>
        </w:tc>
      </w:tr>
      <w:tr w:rsidR="00E61272" w:rsidRPr="00D364E8" w:rsidTr="00941BA1">
        <w:trPr>
          <w:trHeight w:val="227"/>
        </w:trPr>
        <w:tc>
          <w:tcPr>
            <w:tcW w:w="516" w:type="dxa"/>
            <w:tcBorders>
              <w:top w:val="single" w:sz="4" w:space="0" w:color="808080" w:themeColor="background1" w:themeShade="80"/>
              <w:bottom w:val="single" w:sz="8"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2886" w:type="dxa"/>
            <w:tcBorders>
              <w:top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r w:rsidRPr="00D364E8">
              <w:rPr>
                <w:rFonts w:eastAsia="Times New Roman" w:cs="Tahoma"/>
                <w:sz w:val="16"/>
                <w:szCs w:val="16"/>
                <w:lang w:eastAsia="sl-SI"/>
              </w:rPr>
              <w:t>odvajanje komunalne odpadne vode</w:t>
            </w:r>
          </w:p>
        </w:tc>
        <w:tc>
          <w:tcPr>
            <w:tcW w:w="993" w:type="dxa"/>
            <w:vMerge/>
            <w:tcBorders>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p>
        </w:tc>
        <w:tc>
          <w:tcPr>
            <w:tcW w:w="1134" w:type="dxa"/>
            <w:vMerge/>
            <w:tcBorders>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center"/>
          </w:tcPr>
          <w:p w:rsidR="00E61272" w:rsidRPr="00D364E8" w:rsidRDefault="00E61272" w:rsidP="00995BE5">
            <w:pPr>
              <w:spacing w:after="0" w:line="276" w:lineRule="auto"/>
              <w:rPr>
                <w:rFonts w:eastAsia="Times New Roman" w:cs="Tahoma"/>
                <w:color w:val="000000"/>
                <w:sz w:val="16"/>
                <w:szCs w:val="16"/>
                <w:lang w:eastAsia="sl-SI"/>
              </w:rPr>
            </w:pPr>
          </w:p>
        </w:tc>
        <w:tc>
          <w:tcPr>
            <w:tcW w:w="1276"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r w:rsidRPr="00D364E8">
              <w:rPr>
                <w:rFonts w:eastAsia="Times New Roman" w:cs="Tahoma"/>
                <w:sz w:val="16"/>
                <w:szCs w:val="16"/>
                <w:lang w:eastAsia="sl-SI"/>
              </w:rPr>
              <w:t>EUR/m</w:t>
            </w:r>
            <w:r w:rsidRPr="000A09BF">
              <w:rPr>
                <w:rFonts w:eastAsia="Times New Roman" w:cs="Tahoma"/>
                <w:sz w:val="16"/>
                <w:szCs w:val="16"/>
                <w:vertAlign w:val="superscript"/>
                <w:lang w:eastAsia="sl-SI"/>
              </w:rPr>
              <w:t>3</w:t>
            </w:r>
          </w:p>
        </w:tc>
        <w:tc>
          <w:tcPr>
            <w:tcW w:w="1276" w:type="dxa"/>
            <w:tcBorders>
              <w:top w:val="single" w:sz="4" w:space="0" w:color="808080" w:themeColor="background1" w:themeShade="80"/>
              <w:left w:val="single" w:sz="4" w:space="0" w:color="808080" w:themeColor="background1" w:themeShade="80"/>
              <w:bottom w:val="single" w:sz="8"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b/>
                <w:color w:val="000000"/>
                <w:sz w:val="16"/>
                <w:szCs w:val="16"/>
                <w:lang w:eastAsia="sl-SI"/>
              </w:rPr>
            </w:pPr>
            <w:r w:rsidRPr="00D364E8">
              <w:rPr>
                <w:rFonts w:eastAsia="Times New Roman" w:cs="Tahoma"/>
                <w:b/>
                <w:color w:val="000000"/>
                <w:sz w:val="16"/>
                <w:szCs w:val="16"/>
                <w:lang w:eastAsia="sl-SI"/>
              </w:rPr>
              <w:t>0,1901</w:t>
            </w:r>
          </w:p>
        </w:tc>
      </w:tr>
    </w:tbl>
    <w:p w:rsidR="00E61272" w:rsidRDefault="00E61272" w:rsidP="00995BE5">
      <w:pPr>
        <w:spacing w:after="0" w:line="276" w:lineRule="auto"/>
      </w:pPr>
    </w:p>
    <w:p w:rsidR="00E61272" w:rsidRDefault="00E61272" w:rsidP="00995BE5">
      <w:pPr>
        <w:spacing w:after="0" w:line="276" w:lineRule="auto"/>
        <w:rPr>
          <w:b/>
        </w:rPr>
      </w:pPr>
    </w:p>
    <w:p w:rsidR="00E61272" w:rsidRDefault="00E61272" w:rsidP="00995BE5">
      <w:pPr>
        <w:spacing w:after="0" w:line="276" w:lineRule="auto"/>
        <w:rPr>
          <w:b/>
        </w:rPr>
      </w:pPr>
      <w:r w:rsidRPr="00B1191A">
        <w:rPr>
          <w:b/>
        </w:rPr>
        <w:t xml:space="preserve">Čiščenje komunalne odpadne vode in padavinske </w:t>
      </w:r>
      <w:r>
        <w:rPr>
          <w:b/>
        </w:rPr>
        <w:t xml:space="preserve">odpadne </w:t>
      </w:r>
      <w:r w:rsidR="001B22CC">
        <w:rPr>
          <w:b/>
        </w:rPr>
        <w:t xml:space="preserve">vode </w:t>
      </w:r>
      <w:r w:rsidRPr="00B1191A">
        <w:rPr>
          <w:b/>
        </w:rPr>
        <w:t>z javnih površin</w:t>
      </w:r>
    </w:p>
    <w:p w:rsidR="001B22CC" w:rsidRPr="00B1191A" w:rsidRDefault="001B22CC" w:rsidP="00995BE5">
      <w:pPr>
        <w:spacing w:after="0" w:line="276" w:lineRule="auto"/>
        <w:rPr>
          <w:b/>
        </w:rPr>
      </w:pPr>
    </w:p>
    <w:p w:rsidR="00E61272" w:rsidRDefault="00E61272" w:rsidP="00995BE5">
      <w:pPr>
        <w:spacing w:after="0" w:line="276" w:lineRule="auto"/>
      </w:pPr>
      <w:r>
        <w:t>Storitev čiščenja se trenutno obračunava na podlagi količine dovedene pitne vode v m</w:t>
      </w:r>
      <w:r w:rsidRPr="000A09BF">
        <w:rPr>
          <w:vertAlign w:val="superscript"/>
        </w:rPr>
        <w:t>3</w:t>
      </w:r>
      <w:r>
        <w:t>. V ceni so zajeti vsi stroški, tako s</w:t>
      </w:r>
      <w:r w:rsidRPr="00F52583">
        <w:t>troški javne infrastrukture</w:t>
      </w:r>
      <w:r>
        <w:t>, kot tudi</w:t>
      </w:r>
      <w:r w:rsidRPr="00F52583">
        <w:t xml:space="preserve"> stroški opravljene storitve</w:t>
      </w:r>
      <w:r>
        <w:t xml:space="preserve">. </w:t>
      </w:r>
      <w:r w:rsidR="001B22CC">
        <w:t>V</w:t>
      </w:r>
      <w:r w:rsidRPr="000A09BF">
        <w:t xml:space="preserve"> ceni je trenutno zajet tudi strošek povezan s čiščenjem padavinske vode s streh, ki se </w:t>
      </w:r>
      <w:r>
        <w:t xml:space="preserve">bo </w:t>
      </w:r>
      <w:r w:rsidRPr="000A09BF">
        <w:t>novem obračuna</w:t>
      </w:r>
      <w:r>
        <w:t>val</w:t>
      </w:r>
      <w:r w:rsidRPr="000A09BF">
        <w:t xml:space="preserve"> ločeno glede na odvedeno vodo s strehe.</w:t>
      </w:r>
    </w:p>
    <w:p w:rsidR="00E61272" w:rsidRDefault="00E61272" w:rsidP="00995BE5">
      <w:pPr>
        <w:spacing w:after="0" w:line="276" w:lineRule="auto"/>
      </w:pPr>
      <w:r>
        <w:t>P</w:t>
      </w:r>
      <w:r w:rsidR="00995BE5">
        <w:t>o Uredbi</w:t>
      </w:r>
      <w:r>
        <w:t xml:space="preserve"> se bodo</w:t>
      </w:r>
      <w:r w:rsidRPr="00F52583">
        <w:t xml:space="preserve"> </w:t>
      </w:r>
      <w:r>
        <w:t>ločeno obračunavali</w:t>
      </w:r>
      <w:r w:rsidRPr="00F52583">
        <w:t xml:space="preserve"> </w:t>
      </w:r>
      <w:r>
        <w:t>stroški odvajanja po m</w:t>
      </w:r>
      <w:r w:rsidRPr="000A09BF">
        <w:rPr>
          <w:vertAlign w:val="superscript"/>
        </w:rPr>
        <w:t>3</w:t>
      </w:r>
      <w:r>
        <w:t xml:space="preserve"> in stroški </w:t>
      </w:r>
      <w:proofErr w:type="spellStart"/>
      <w:r>
        <w:t>omrežnine</w:t>
      </w:r>
      <w:proofErr w:type="spellEnd"/>
      <w:r>
        <w:t xml:space="preserve"> glede na število faktorjev </w:t>
      </w:r>
      <w:proofErr w:type="spellStart"/>
      <w:r>
        <w:t>omrežnine</w:t>
      </w:r>
      <w:proofErr w:type="spellEnd"/>
      <w:r>
        <w:t>:</w:t>
      </w:r>
    </w:p>
    <w:p w:rsidR="00E61272" w:rsidRDefault="00E61272" w:rsidP="00995BE5">
      <w:pPr>
        <w:spacing w:after="0" w:line="276" w:lineRule="auto"/>
      </w:pPr>
    </w:p>
    <w:tbl>
      <w:tblPr>
        <w:tblW w:w="808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blBorders>
        <w:tblCellMar>
          <w:left w:w="70" w:type="dxa"/>
          <w:right w:w="70" w:type="dxa"/>
        </w:tblCellMar>
        <w:tblLook w:val="04A0" w:firstRow="1" w:lastRow="0" w:firstColumn="1" w:lastColumn="0" w:noHBand="0" w:noVBand="1"/>
      </w:tblPr>
      <w:tblGrid>
        <w:gridCol w:w="516"/>
        <w:gridCol w:w="2886"/>
        <w:gridCol w:w="993"/>
        <w:gridCol w:w="1134"/>
        <w:gridCol w:w="1276"/>
        <w:gridCol w:w="1276"/>
      </w:tblGrid>
      <w:tr w:rsidR="00E61272" w:rsidRPr="00BC7381" w:rsidTr="00941BA1">
        <w:trPr>
          <w:trHeight w:val="227"/>
        </w:trPr>
        <w:tc>
          <w:tcPr>
            <w:tcW w:w="516" w:type="dxa"/>
            <w:tcBorders>
              <w:top w:val="single" w:sz="4" w:space="0" w:color="808080" w:themeColor="background1" w:themeShade="80"/>
              <w:bottom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288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A9296C" w:rsidRDefault="00E61272" w:rsidP="00995BE5">
            <w:pPr>
              <w:spacing w:after="0" w:line="276" w:lineRule="auto"/>
              <w:rPr>
                <w:rFonts w:eastAsia="Times New Roman" w:cs="Tahoma"/>
                <w:color w:val="000000"/>
                <w:sz w:val="16"/>
                <w:szCs w:val="16"/>
                <w:lang w:eastAsia="sl-SI"/>
              </w:rPr>
            </w:pPr>
          </w:p>
        </w:tc>
        <w:tc>
          <w:tcPr>
            <w:tcW w:w="21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BC7381" w:rsidRDefault="00E61272" w:rsidP="00995BE5">
            <w:pPr>
              <w:spacing w:after="0" w:line="276" w:lineRule="auto"/>
              <w:rPr>
                <w:rFonts w:eastAsia="Times New Roman" w:cs="Tahoma"/>
                <w:b/>
                <w:color w:val="000000"/>
                <w:sz w:val="16"/>
                <w:szCs w:val="16"/>
                <w:lang w:eastAsia="sl-SI"/>
              </w:rPr>
            </w:pPr>
            <w:r w:rsidRPr="00BC7381">
              <w:rPr>
                <w:rFonts w:eastAsia="Times New Roman" w:cs="Tahoma"/>
                <w:b/>
                <w:color w:val="000000"/>
                <w:sz w:val="16"/>
                <w:szCs w:val="16"/>
                <w:lang w:eastAsia="sl-SI"/>
              </w:rPr>
              <w:t>Veljavne cene - na računu</w:t>
            </w:r>
          </w:p>
        </w:tc>
        <w:tc>
          <w:tcPr>
            <w:tcW w:w="2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tcPr>
          <w:p w:rsidR="00E61272" w:rsidRPr="00BC7381" w:rsidRDefault="00E61272" w:rsidP="00995BE5">
            <w:pPr>
              <w:spacing w:after="0" w:line="276" w:lineRule="auto"/>
              <w:rPr>
                <w:rFonts w:eastAsia="Times New Roman" w:cs="Tahoma"/>
                <w:b/>
                <w:color w:val="000000"/>
                <w:sz w:val="16"/>
                <w:szCs w:val="16"/>
                <w:lang w:eastAsia="sl-SI"/>
              </w:rPr>
            </w:pPr>
            <w:r>
              <w:rPr>
                <w:rFonts w:eastAsia="Times New Roman" w:cs="Tahoma"/>
                <w:b/>
                <w:color w:val="000000"/>
                <w:sz w:val="16"/>
                <w:szCs w:val="16"/>
                <w:lang w:eastAsia="sl-SI"/>
              </w:rPr>
              <w:t>Predlagana</w:t>
            </w:r>
            <w:r w:rsidRPr="00BC7381">
              <w:rPr>
                <w:rFonts w:eastAsia="Times New Roman" w:cs="Tahoma"/>
                <w:b/>
                <w:color w:val="000000"/>
                <w:sz w:val="16"/>
                <w:szCs w:val="16"/>
                <w:lang w:eastAsia="sl-SI"/>
              </w:rPr>
              <w:t xml:space="preserve"> cena 2014</w:t>
            </w:r>
          </w:p>
        </w:tc>
      </w:tr>
      <w:tr w:rsidR="00E61272" w:rsidRPr="00D364E8" w:rsidTr="00941BA1">
        <w:trPr>
          <w:trHeight w:val="227"/>
        </w:trPr>
        <w:tc>
          <w:tcPr>
            <w:tcW w:w="516" w:type="dxa"/>
            <w:tcBorders>
              <w:top w:val="single" w:sz="4" w:space="0" w:color="808080" w:themeColor="background1" w:themeShade="80"/>
              <w:bottom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288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proofErr w:type="spellStart"/>
            <w:r w:rsidRPr="00D364E8">
              <w:rPr>
                <w:rFonts w:eastAsia="Times New Roman" w:cs="Tahoma"/>
                <w:sz w:val="16"/>
                <w:szCs w:val="16"/>
                <w:lang w:eastAsia="sl-SI"/>
              </w:rPr>
              <w:t>omrežnina</w:t>
            </w:r>
            <w:proofErr w:type="spellEnd"/>
          </w:p>
        </w:tc>
        <w:tc>
          <w:tcPr>
            <w:tcW w:w="99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noWrap/>
            <w:vAlign w:val="center"/>
          </w:tcPr>
          <w:p w:rsidR="00E61272" w:rsidRPr="00D364E8" w:rsidRDefault="00E61272" w:rsidP="00995BE5">
            <w:pPr>
              <w:spacing w:after="0" w:line="276" w:lineRule="auto"/>
              <w:rPr>
                <w:rFonts w:eastAsia="Times New Roman" w:cs="Tahoma"/>
                <w:sz w:val="16"/>
                <w:szCs w:val="16"/>
                <w:lang w:eastAsia="sl-SI"/>
              </w:rPr>
            </w:pPr>
            <w:r w:rsidRPr="00D364E8">
              <w:rPr>
                <w:rFonts w:eastAsia="Times New Roman" w:cs="Tahoma"/>
                <w:sz w:val="16"/>
                <w:szCs w:val="16"/>
                <w:lang w:eastAsia="sl-SI"/>
              </w:rPr>
              <w:t>EUR/m</w:t>
            </w:r>
            <w:r w:rsidRPr="000A09BF">
              <w:rPr>
                <w:rFonts w:eastAsia="Times New Roman" w:cs="Tahoma"/>
                <w:sz w:val="16"/>
                <w:szCs w:val="16"/>
                <w:vertAlign w:val="superscript"/>
                <w:lang w:eastAsia="sl-SI"/>
              </w:rPr>
              <w:t>3</w:t>
            </w:r>
          </w:p>
        </w:tc>
        <w:tc>
          <w:tcPr>
            <w:tcW w:w="113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noWrap/>
            <w:vAlign w:val="center"/>
          </w:tcPr>
          <w:p w:rsidR="00E61272" w:rsidRPr="00301CB1" w:rsidRDefault="00E61272" w:rsidP="00995BE5">
            <w:pPr>
              <w:spacing w:after="0" w:line="276" w:lineRule="auto"/>
              <w:rPr>
                <w:rFonts w:eastAsia="Times New Roman" w:cs="Tahoma"/>
                <w:b/>
                <w:color w:val="000000"/>
                <w:sz w:val="16"/>
                <w:szCs w:val="16"/>
                <w:lang w:eastAsia="sl-SI"/>
              </w:rPr>
            </w:pPr>
            <w:r w:rsidRPr="00301CB1">
              <w:rPr>
                <w:rFonts w:eastAsia="Times New Roman" w:cs="Tahoma"/>
                <w:b/>
                <w:color w:val="000000"/>
                <w:sz w:val="16"/>
                <w:szCs w:val="16"/>
                <w:lang w:eastAsia="sl-SI"/>
              </w:rPr>
              <w:t>0,5250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r w:rsidRPr="00D364E8">
              <w:rPr>
                <w:rFonts w:eastAsia="Times New Roman" w:cs="Tahoma"/>
                <w:sz w:val="16"/>
                <w:szCs w:val="16"/>
                <w:lang w:eastAsia="sl-SI"/>
              </w:rPr>
              <w:t>EUR/mesec</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b/>
                <w:color w:val="000000"/>
                <w:sz w:val="16"/>
                <w:szCs w:val="16"/>
                <w:lang w:eastAsia="sl-SI"/>
              </w:rPr>
            </w:pPr>
            <w:r w:rsidRPr="00D364E8">
              <w:rPr>
                <w:rFonts w:eastAsia="Times New Roman" w:cs="Tahoma"/>
                <w:b/>
                <w:color w:val="000000"/>
                <w:sz w:val="16"/>
                <w:szCs w:val="16"/>
                <w:lang w:eastAsia="sl-SI"/>
              </w:rPr>
              <w:t>1,5862</w:t>
            </w:r>
          </w:p>
        </w:tc>
      </w:tr>
      <w:tr w:rsidR="00E61272" w:rsidRPr="00D364E8" w:rsidTr="00941BA1">
        <w:trPr>
          <w:trHeight w:val="227"/>
        </w:trPr>
        <w:tc>
          <w:tcPr>
            <w:tcW w:w="516" w:type="dxa"/>
            <w:tcBorders>
              <w:top w:val="single" w:sz="4" w:space="0" w:color="808080" w:themeColor="background1" w:themeShade="80"/>
              <w:bottom w:val="single" w:sz="8"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2886" w:type="dxa"/>
            <w:tcBorders>
              <w:top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r>
              <w:rPr>
                <w:rFonts w:eastAsia="Times New Roman" w:cs="Tahoma"/>
                <w:sz w:val="16"/>
                <w:szCs w:val="16"/>
                <w:lang w:eastAsia="sl-SI"/>
              </w:rPr>
              <w:t>čiščenje</w:t>
            </w:r>
            <w:r w:rsidRPr="00D364E8">
              <w:rPr>
                <w:rFonts w:eastAsia="Times New Roman" w:cs="Tahoma"/>
                <w:sz w:val="16"/>
                <w:szCs w:val="16"/>
                <w:lang w:eastAsia="sl-SI"/>
              </w:rPr>
              <w:t xml:space="preserve"> komunalne odpadne vode</w:t>
            </w:r>
          </w:p>
        </w:tc>
        <w:tc>
          <w:tcPr>
            <w:tcW w:w="993" w:type="dxa"/>
            <w:vMerge/>
            <w:tcBorders>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p>
        </w:tc>
        <w:tc>
          <w:tcPr>
            <w:tcW w:w="1134" w:type="dxa"/>
            <w:vMerge/>
            <w:tcBorders>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center"/>
          </w:tcPr>
          <w:p w:rsidR="00E61272" w:rsidRPr="00D364E8" w:rsidRDefault="00E61272" w:rsidP="00995BE5">
            <w:pPr>
              <w:spacing w:after="0" w:line="276" w:lineRule="auto"/>
              <w:rPr>
                <w:rFonts w:eastAsia="Times New Roman" w:cs="Tahoma"/>
                <w:color w:val="000000"/>
                <w:sz w:val="16"/>
                <w:szCs w:val="16"/>
                <w:lang w:eastAsia="sl-SI"/>
              </w:rPr>
            </w:pPr>
          </w:p>
        </w:tc>
        <w:tc>
          <w:tcPr>
            <w:tcW w:w="1276"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r w:rsidRPr="00D364E8">
              <w:rPr>
                <w:rFonts w:eastAsia="Times New Roman" w:cs="Tahoma"/>
                <w:sz w:val="16"/>
                <w:szCs w:val="16"/>
                <w:lang w:eastAsia="sl-SI"/>
              </w:rPr>
              <w:t>EUR/m</w:t>
            </w:r>
            <w:r w:rsidRPr="000A09BF">
              <w:rPr>
                <w:rFonts w:eastAsia="Times New Roman" w:cs="Tahoma"/>
                <w:sz w:val="16"/>
                <w:szCs w:val="16"/>
                <w:vertAlign w:val="superscript"/>
                <w:lang w:eastAsia="sl-SI"/>
              </w:rPr>
              <w:t>3</w:t>
            </w:r>
          </w:p>
        </w:tc>
        <w:tc>
          <w:tcPr>
            <w:tcW w:w="1276" w:type="dxa"/>
            <w:tcBorders>
              <w:top w:val="single" w:sz="4" w:space="0" w:color="808080" w:themeColor="background1" w:themeShade="80"/>
              <w:left w:val="single" w:sz="4" w:space="0" w:color="808080" w:themeColor="background1" w:themeShade="80"/>
              <w:bottom w:val="single" w:sz="8"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b/>
                <w:color w:val="000000"/>
                <w:sz w:val="16"/>
                <w:szCs w:val="16"/>
                <w:lang w:eastAsia="sl-SI"/>
              </w:rPr>
            </w:pPr>
            <w:r w:rsidRPr="00D364E8">
              <w:rPr>
                <w:rFonts w:eastAsia="Times New Roman" w:cs="Tahoma"/>
                <w:b/>
                <w:color w:val="000000"/>
                <w:sz w:val="16"/>
                <w:szCs w:val="16"/>
                <w:lang w:eastAsia="sl-SI"/>
              </w:rPr>
              <w:t>0,2838</w:t>
            </w:r>
          </w:p>
        </w:tc>
      </w:tr>
    </w:tbl>
    <w:p w:rsidR="00E61272" w:rsidRDefault="00E61272" w:rsidP="00995BE5">
      <w:pPr>
        <w:spacing w:after="0" w:line="276" w:lineRule="auto"/>
      </w:pPr>
    </w:p>
    <w:p w:rsidR="00995BE5" w:rsidRDefault="00995BE5" w:rsidP="00995BE5">
      <w:pPr>
        <w:spacing w:after="0" w:line="276" w:lineRule="auto"/>
        <w:rPr>
          <w:b/>
        </w:rPr>
      </w:pPr>
    </w:p>
    <w:p w:rsidR="000D4801" w:rsidRDefault="000D4801" w:rsidP="00995BE5">
      <w:pPr>
        <w:spacing w:after="0" w:line="276" w:lineRule="auto"/>
        <w:rPr>
          <w:b/>
        </w:rPr>
      </w:pPr>
    </w:p>
    <w:p w:rsidR="00E61272" w:rsidRDefault="00E61272" w:rsidP="00995BE5">
      <w:pPr>
        <w:spacing w:after="0" w:line="276" w:lineRule="auto"/>
        <w:rPr>
          <w:b/>
        </w:rPr>
      </w:pPr>
      <w:r w:rsidRPr="00B1191A">
        <w:rPr>
          <w:b/>
        </w:rPr>
        <w:lastRenderedPageBreak/>
        <w:t xml:space="preserve">Odvajanje </w:t>
      </w:r>
      <w:r>
        <w:rPr>
          <w:b/>
        </w:rPr>
        <w:t>padavinske</w:t>
      </w:r>
      <w:r w:rsidR="00995BE5">
        <w:rPr>
          <w:b/>
        </w:rPr>
        <w:t xml:space="preserve"> odpadne vode s</w:t>
      </w:r>
      <w:r w:rsidRPr="00B1191A">
        <w:rPr>
          <w:b/>
        </w:rPr>
        <w:t xml:space="preserve"> </w:t>
      </w:r>
      <w:r>
        <w:rPr>
          <w:b/>
        </w:rPr>
        <w:t>streh</w:t>
      </w:r>
    </w:p>
    <w:p w:rsidR="00995BE5" w:rsidRDefault="00995BE5" w:rsidP="00995BE5">
      <w:pPr>
        <w:spacing w:after="0" w:line="276" w:lineRule="auto"/>
        <w:rPr>
          <w:b/>
        </w:rPr>
      </w:pPr>
    </w:p>
    <w:p w:rsidR="00E61272" w:rsidRDefault="00E61272" w:rsidP="00995BE5">
      <w:pPr>
        <w:spacing w:after="0" w:line="276" w:lineRule="auto"/>
      </w:pPr>
      <w:r>
        <w:t xml:space="preserve">Storitev odvajanja se do sedaj ni obračunavala, stroški so bili zajeti v obračunu odvajanja komunalne odpadne vode. </w:t>
      </w:r>
    </w:p>
    <w:p w:rsidR="00E61272" w:rsidRDefault="00995BE5" w:rsidP="00995BE5">
      <w:pPr>
        <w:spacing w:after="0" w:line="276" w:lineRule="auto"/>
      </w:pPr>
      <w:r>
        <w:t>Po Uredbi</w:t>
      </w:r>
      <w:r w:rsidR="00E61272">
        <w:t xml:space="preserve"> se </w:t>
      </w:r>
      <w:r>
        <w:t xml:space="preserve">bo </w:t>
      </w:r>
      <w:r w:rsidR="00E61272">
        <w:t>storitev odva</w:t>
      </w:r>
      <w:r>
        <w:t>janja padavinske odpadne vode s</w:t>
      </w:r>
      <w:r w:rsidR="00E61272">
        <w:t xml:space="preserve"> streh obračuna</w:t>
      </w:r>
      <w:r>
        <w:t>la</w:t>
      </w:r>
      <w:r w:rsidR="00E61272">
        <w:t xml:space="preserve"> na podlagi dejanske količine odvedene padavinske vode s strehe, določene na podlagi velikosti strehe (dela strehe iz katerega se padavinske voda odvaja v javno kanalizacijo) in pet letnega povprečja padavin v m</w:t>
      </w:r>
      <w:r w:rsidR="00E61272" w:rsidRPr="00CC77A2">
        <w:rPr>
          <w:vertAlign w:val="superscript"/>
        </w:rPr>
        <w:t>3</w:t>
      </w:r>
      <w:r w:rsidR="00E61272">
        <w:t xml:space="preserve">, </w:t>
      </w:r>
      <w:proofErr w:type="spellStart"/>
      <w:r w:rsidR="00E61272">
        <w:t>omrežnina</w:t>
      </w:r>
      <w:proofErr w:type="spellEnd"/>
      <w:r w:rsidR="00E61272">
        <w:t xml:space="preserve"> pa na podlagi števila faktorjev </w:t>
      </w:r>
      <w:proofErr w:type="spellStart"/>
      <w:r w:rsidR="00E61272">
        <w:t>omrežnine</w:t>
      </w:r>
      <w:proofErr w:type="spellEnd"/>
      <w:r w:rsidR="00E61272">
        <w:t>:</w:t>
      </w:r>
    </w:p>
    <w:p w:rsidR="00E61272" w:rsidRDefault="00E61272" w:rsidP="00995BE5">
      <w:pPr>
        <w:spacing w:after="0" w:line="276" w:lineRule="auto"/>
      </w:pPr>
    </w:p>
    <w:tbl>
      <w:tblPr>
        <w:tblW w:w="808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blBorders>
        <w:tblCellMar>
          <w:left w:w="70" w:type="dxa"/>
          <w:right w:w="70" w:type="dxa"/>
        </w:tblCellMar>
        <w:tblLook w:val="04A0" w:firstRow="1" w:lastRow="0" w:firstColumn="1" w:lastColumn="0" w:noHBand="0" w:noVBand="1"/>
      </w:tblPr>
      <w:tblGrid>
        <w:gridCol w:w="516"/>
        <w:gridCol w:w="2886"/>
        <w:gridCol w:w="2127"/>
        <w:gridCol w:w="1276"/>
        <w:gridCol w:w="1276"/>
      </w:tblGrid>
      <w:tr w:rsidR="00E61272" w:rsidRPr="00D364E8" w:rsidTr="00941BA1">
        <w:trPr>
          <w:trHeight w:val="227"/>
        </w:trPr>
        <w:tc>
          <w:tcPr>
            <w:tcW w:w="516" w:type="dxa"/>
            <w:tcBorders>
              <w:top w:val="single" w:sz="4" w:space="0" w:color="808080" w:themeColor="background1" w:themeShade="80"/>
              <w:bottom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288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A9296C" w:rsidRDefault="00E61272" w:rsidP="00995BE5">
            <w:pPr>
              <w:spacing w:after="0" w:line="276" w:lineRule="auto"/>
              <w:rPr>
                <w:rFonts w:eastAsia="Times New Roman" w:cs="Tahoma"/>
                <w:color w:val="000000"/>
                <w:sz w:val="16"/>
                <w:szCs w:val="16"/>
                <w:lang w:eastAsia="sl-SI"/>
              </w:rPr>
            </w:pPr>
          </w:p>
        </w:tc>
        <w:tc>
          <w:tcPr>
            <w:tcW w:w="21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BC7381" w:rsidRDefault="00E61272" w:rsidP="00995BE5">
            <w:pPr>
              <w:spacing w:after="0" w:line="276" w:lineRule="auto"/>
              <w:rPr>
                <w:rFonts w:eastAsia="Times New Roman" w:cs="Tahoma"/>
                <w:b/>
                <w:color w:val="000000"/>
                <w:sz w:val="16"/>
                <w:szCs w:val="16"/>
                <w:lang w:eastAsia="sl-SI"/>
              </w:rPr>
            </w:pPr>
            <w:r w:rsidRPr="00BC7381">
              <w:rPr>
                <w:rFonts w:eastAsia="Times New Roman" w:cs="Tahoma"/>
                <w:b/>
                <w:color w:val="000000"/>
                <w:sz w:val="16"/>
                <w:szCs w:val="16"/>
                <w:lang w:eastAsia="sl-SI"/>
              </w:rPr>
              <w:t>Veljavne cene - na računu</w:t>
            </w:r>
          </w:p>
        </w:tc>
        <w:tc>
          <w:tcPr>
            <w:tcW w:w="2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tcPr>
          <w:p w:rsidR="00E61272" w:rsidRPr="00BC7381" w:rsidRDefault="00E61272" w:rsidP="00995BE5">
            <w:pPr>
              <w:spacing w:after="0" w:line="276" w:lineRule="auto"/>
              <w:rPr>
                <w:rFonts w:eastAsia="Times New Roman" w:cs="Tahoma"/>
                <w:b/>
                <w:color w:val="000000"/>
                <w:sz w:val="16"/>
                <w:szCs w:val="16"/>
                <w:lang w:eastAsia="sl-SI"/>
              </w:rPr>
            </w:pPr>
            <w:r w:rsidRPr="00BC7381">
              <w:rPr>
                <w:rFonts w:eastAsia="Times New Roman" w:cs="Tahoma"/>
                <w:b/>
                <w:color w:val="000000"/>
                <w:sz w:val="16"/>
                <w:szCs w:val="16"/>
                <w:lang w:eastAsia="sl-SI"/>
              </w:rPr>
              <w:t>Pred</w:t>
            </w:r>
            <w:r>
              <w:rPr>
                <w:rFonts w:eastAsia="Times New Roman" w:cs="Tahoma"/>
                <w:b/>
                <w:color w:val="000000"/>
                <w:sz w:val="16"/>
                <w:szCs w:val="16"/>
                <w:lang w:eastAsia="sl-SI"/>
              </w:rPr>
              <w:t>lagana</w:t>
            </w:r>
            <w:r w:rsidRPr="00BC7381">
              <w:rPr>
                <w:rFonts w:eastAsia="Times New Roman" w:cs="Tahoma"/>
                <w:b/>
                <w:color w:val="000000"/>
                <w:sz w:val="16"/>
                <w:szCs w:val="16"/>
                <w:lang w:eastAsia="sl-SI"/>
              </w:rPr>
              <w:t xml:space="preserve"> cena 2014</w:t>
            </w:r>
          </w:p>
        </w:tc>
      </w:tr>
      <w:tr w:rsidR="00E61272" w:rsidRPr="00D364E8" w:rsidTr="00941BA1">
        <w:trPr>
          <w:trHeight w:val="227"/>
        </w:trPr>
        <w:tc>
          <w:tcPr>
            <w:tcW w:w="516" w:type="dxa"/>
            <w:tcBorders>
              <w:top w:val="single" w:sz="4" w:space="0" w:color="808080" w:themeColor="background1" w:themeShade="80"/>
              <w:bottom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288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proofErr w:type="spellStart"/>
            <w:r w:rsidRPr="00D364E8">
              <w:rPr>
                <w:rFonts w:eastAsia="Times New Roman" w:cs="Tahoma"/>
                <w:sz w:val="16"/>
                <w:szCs w:val="16"/>
                <w:lang w:eastAsia="sl-SI"/>
              </w:rPr>
              <w:t>omrežnina</w:t>
            </w:r>
            <w:proofErr w:type="spellEnd"/>
          </w:p>
        </w:tc>
        <w:tc>
          <w:tcPr>
            <w:tcW w:w="212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noWrap/>
            <w:vAlign w:val="center"/>
          </w:tcPr>
          <w:p w:rsidR="00E61272" w:rsidRPr="00B1191A" w:rsidRDefault="000C74A3" w:rsidP="00995BE5">
            <w:pPr>
              <w:spacing w:after="0" w:line="276" w:lineRule="auto"/>
              <w:rPr>
                <w:rFonts w:eastAsia="Times New Roman" w:cs="Tahoma"/>
                <w:b/>
                <w:color w:val="000000"/>
                <w:sz w:val="16"/>
                <w:szCs w:val="16"/>
                <w:lang w:eastAsia="sl-SI"/>
              </w:rPr>
            </w:pPr>
            <w:r>
              <w:rPr>
                <w:rFonts w:eastAsia="Times New Roman" w:cs="Tahoma"/>
                <w:sz w:val="16"/>
                <w:szCs w:val="16"/>
                <w:lang w:eastAsia="sl-SI"/>
              </w:rPr>
              <w:t>s</w:t>
            </w:r>
            <w:r w:rsidR="00E61272">
              <w:rPr>
                <w:rFonts w:eastAsia="Times New Roman" w:cs="Tahoma"/>
                <w:sz w:val="16"/>
                <w:szCs w:val="16"/>
                <w:lang w:eastAsia="sl-SI"/>
              </w:rPr>
              <w:t>e ni obračunavalo</w:t>
            </w:r>
            <w:r>
              <w:rPr>
                <w:rFonts w:eastAsia="Times New Roman" w:cs="Tahoma"/>
                <w:sz w:val="16"/>
                <w:szCs w:val="16"/>
                <w:lang w:eastAsia="sl-SI"/>
              </w:rPr>
              <w:t xml:space="preserve"> ločeno</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r w:rsidRPr="00D364E8">
              <w:rPr>
                <w:rFonts w:eastAsia="Times New Roman" w:cs="Tahoma"/>
                <w:sz w:val="16"/>
                <w:szCs w:val="16"/>
                <w:lang w:eastAsia="sl-SI"/>
              </w:rPr>
              <w:t>EUR/mesec</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b/>
                <w:color w:val="000000"/>
                <w:sz w:val="16"/>
                <w:szCs w:val="16"/>
                <w:lang w:eastAsia="sl-SI"/>
              </w:rPr>
            </w:pPr>
            <w:r>
              <w:rPr>
                <w:rFonts w:eastAsia="Times New Roman" w:cs="Tahoma"/>
                <w:b/>
                <w:color w:val="000000"/>
                <w:sz w:val="16"/>
                <w:szCs w:val="16"/>
                <w:lang w:eastAsia="sl-SI"/>
              </w:rPr>
              <w:t>0,3443</w:t>
            </w:r>
          </w:p>
        </w:tc>
      </w:tr>
      <w:tr w:rsidR="00E61272" w:rsidRPr="00D364E8" w:rsidTr="00941BA1">
        <w:trPr>
          <w:trHeight w:val="227"/>
        </w:trPr>
        <w:tc>
          <w:tcPr>
            <w:tcW w:w="516" w:type="dxa"/>
            <w:tcBorders>
              <w:top w:val="single" w:sz="4" w:space="0" w:color="808080" w:themeColor="background1" w:themeShade="80"/>
              <w:bottom w:val="single" w:sz="8"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2886" w:type="dxa"/>
            <w:tcBorders>
              <w:top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r w:rsidRPr="00D364E8">
              <w:rPr>
                <w:rFonts w:eastAsia="Times New Roman" w:cs="Tahoma"/>
                <w:sz w:val="16"/>
                <w:szCs w:val="16"/>
                <w:lang w:eastAsia="sl-SI"/>
              </w:rPr>
              <w:t>Odvajanje</w:t>
            </w:r>
            <w:r>
              <w:rPr>
                <w:rFonts w:eastAsia="Times New Roman" w:cs="Tahoma"/>
                <w:sz w:val="16"/>
                <w:szCs w:val="16"/>
                <w:lang w:eastAsia="sl-SI"/>
              </w:rPr>
              <w:t xml:space="preserve"> </w:t>
            </w:r>
            <w:r w:rsidRPr="00D364E8">
              <w:rPr>
                <w:rFonts w:eastAsia="Times New Roman" w:cs="Tahoma"/>
                <w:sz w:val="16"/>
                <w:szCs w:val="16"/>
                <w:lang w:eastAsia="sl-SI"/>
              </w:rPr>
              <w:t xml:space="preserve"> </w:t>
            </w:r>
            <w:r>
              <w:rPr>
                <w:rFonts w:eastAsia="Times New Roman" w:cs="Tahoma"/>
                <w:sz w:val="16"/>
                <w:szCs w:val="16"/>
                <w:lang w:eastAsia="sl-SI"/>
              </w:rPr>
              <w:t>padavinske</w:t>
            </w:r>
            <w:r w:rsidRPr="00D364E8">
              <w:rPr>
                <w:rFonts w:eastAsia="Times New Roman" w:cs="Tahoma"/>
                <w:sz w:val="16"/>
                <w:szCs w:val="16"/>
                <w:lang w:eastAsia="sl-SI"/>
              </w:rPr>
              <w:t xml:space="preserve"> odpadne vode</w:t>
            </w:r>
            <w:r>
              <w:rPr>
                <w:rFonts w:eastAsia="Times New Roman" w:cs="Tahoma"/>
                <w:sz w:val="16"/>
                <w:szCs w:val="16"/>
                <w:lang w:eastAsia="sl-SI"/>
              </w:rPr>
              <w:t xml:space="preserve"> iz streh</w:t>
            </w:r>
          </w:p>
        </w:tc>
        <w:tc>
          <w:tcPr>
            <w:tcW w:w="2127" w:type="dxa"/>
            <w:vMerge/>
            <w:tcBorders>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1276"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r w:rsidRPr="00D364E8">
              <w:rPr>
                <w:rFonts w:eastAsia="Times New Roman" w:cs="Tahoma"/>
                <w:sz w:val="16"/>
                <w:szCs w:val="16"/>
                <w:lang w:eastAsia="sl-SI"/>
              </w:rPr>
              <w:t>EUR/m</w:t>
            </w:r>
            <w:r w:rsidRPr="00CC77A2">
              <w:rPr>
                <w:rFonts w:eastAsia="Times New Roman" w:cs="Tahoma"/>
                <w:sz w:val="16"/>
                <w:szCs w:val="16"/>
                <w:vertAlign w:val="superscript"/>
                <w:lang w:eastAsia="sl-SI"/>
              </w:rPr>
              <w:t>3</w:t>
            </w:r>
          </w:p>
        </w:tc>
        <w:tc>
          <w:tcPr>
            <w:tcW w:w="1276" w:type="dxa"/>
            <w:tcBorders>
              <w:top w:val="single" w:sz="4" w:space="0" w:color="808080" w:themeColor="background1" w:themeShade="80"/>
              <w:left w:val="single" w:sz="4" w:space="0" w:color="808080" w:themeColor="background1" w:themeShade="80"/>
              <w:bottom w:val="single" w:sz="8"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b/>
                <w:color w:val="000000"/>
                <w:sz w:val="16"/>
                <w:szCs w:val="16"/>
                <w:lang w:eastAsia="sl-SI"/>
              </w:rPr>
            </w:pPr>
            <w:r>
              <w:rPr>
                <w:rFonts w:eastAsia="Times New Roman" w:cs="Tahoma"/>
                <w:b/>
                <w:color w:val="000000"/>
                <w:sz w:val="16"/>
                <w:szCs w:val="16"/>
                <w:lang w:eastAsia="sl-SI"/>
              </w:rPr>
              <w:t>0,0982</w:t>
            </w:r>
          </w:p>
        </w:tc>
      </w:tr>
    </w:tbl>
    <w:p w:rsidR="000D4801" w:rsidRDefault="000D4801" w:rsidP="00995BE5">
      <w:pPr>
        <w:spacing w:after="0" w:line="276" w:lineRule="auto"/>
        <w:rPr>
          <w:b/>
        </w:rPr>
      </w:pPr>
    </w:p>
    <w:p w:rsidR="00E61272" w:rsidRDefault="00E61272" w:rsidP="00995BE5">
      <w:pPr>
        <w:spacing w:after="0" w:line="276" w:lineRule="auto"/>
        <w:rPr>
          <w:b/>
        </w:rPr>
      </w:pPr>
      <w:r w:rsidRPr="00B1191A">
        <w:rPr>
          <w:b/>
        </w:rPr>
        <w:t xml:space="preserve">Čiščenje </w:t>
      </w:r>
      <w:r>
        <w:rPr>
          <w:b/>
        </w:rPr>
        <w:t>padavinske</w:t>
      </w:r>
      <w:r w:rsidR="00995BE5">
        <w:rPr>
          <w:b/>
        </w:rPr>
        <w:t xml:space="preserve"> odpadne vode s</w:t>
      </w:r>
      <w:r w:rsidRPr="00B1191A">
        <w:rPr>
          <w:b/>
        </w:rPr>
        <w:t xml:space="preserve"> </w:t>
      </w:r>
      <w:r>
        <w:rPr>
          <w:b/>
        </w:rPr>
        <w:t>streh</w:t>
      </w:r>
    </w:p>
    <w:p w:rsidR="00995BE5" w:rsidRPr="00B1191A" w:rsidRDefault="00995BE5" w:rsidP="00995BE5">
      <w:pPr>
        <w:spacing w:after="0" w:line="276" w:lineRule="auto"/>
        <w:rPr>
          <w:b/>
        </w:rPr>
      </w:pPr>
    </w:p>
    <w:p w:rsidR="00E61272" w:rsidRDefault="00E61272" w:rsidP="00995BE5">
      <w:pPr>
        <w:spacing w:after="0" w:line="276" w:lineRule="auto"/>
      </w:pPr>
      <w:r>
        <w:t>Storitev čiščenja padavinske odpadne vode s streh se do sedaj ni obračunavala ločeno, stroški so trenutno zajeti v obračunu čiščenja komunalne odpadne vode. Po novem se bo  storitev obračunala na podlagi dejanske količine odvedene padavinske vode s strehe, določene na podlagi velikosti strehe (dela strehe iz katerega se padavinske voda odvaja v javno kanalizacijo) in pet letnega povprečja padavin v m</w:t>
      </w:r>
      <w:r w:rsidRPr="00CC77A2">
        <w:rPr>
          <w:vertAlign w:val="superscript"/>
        </w:rPr>
        <w:t>3</w:t>
      </w:r>
      <w:r>
        <w:t xml:space="preserve">. </w:t>
      </w:r>
      <w:proofErr w:type="spellStart"/>
      <w:r>
        <w:t>Omrežnina</w:t>
      </w:r>
      <w:proofErr w:type="spellEnd"/>
      <w:r>
        <w:t xml:space="preserve"> pa se bo obračunala na podlagi števila faktorjev </w:t>
      </w:r>
      <w:proofErr w:type="spellStart"/>
      <w:r>
        <w:t>omrežnine</w:t>
      </w:r>
      <w:proofErr w:type="spellEnd"/>
      <w:r>
        <w:t xml:space="preserve">. </w:t>
      </w:r>
    </w:p>
    <w:p w:rsidR="00E61272" w:rsidRDefault="00E61272" w:rsidP="00995BE5">
      <w:pPr>
        <w:spacing w:after="0" w:line="276" w:lineRule="auto"/>
      </w:pPr>
    </w:p>
    <w:tbl>
      <w:tblPr>
        <w:tblW w:w="808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blBorders>
        <w:tblCellMar>
          <w:left w:w="70" w:type="dxa"/>
          <w:right w:w="70" w:type="dxa"/>
        </w:tblCellMar>
        <w:tblLook w:val="04A0" w:firstRow="1" w:lastRow="0" w:firstColumn="1" w:lastColumn="0" w:noHBand="0" w:noVBand="1"/>
      </w:tblPr>
      <w:tblGrid>
        <w:gridCol w:w="516"/>
        <w:gridCol w:w="2886"/>
        <w:gridCol w:w="2127"/>
        <w:gridCol w:w="1276"/>
        <w:gridCol w:w="1276"/>
      </w:tblGrid>
      <w:tr w:rsidR="00E61272" w:rsidRPr="00BC7381" w:rsidTr="00941BA1">
        <w:trPr>
          <w:trHeight w:val="227"/>
        </w:trPr>
        <w:tc>
          <w:tcPr>
            <w:tcW w:w="516" w:type="dxa"/>
            <w:tcBorders>
              <w:top w:val="single" w:sz="4" w:space="0" w:color="808080" w:themeColor="background1" w:themeShade="80"/>
              <w:bottom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288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A9296C" w:rsidRDefault="00E61272" w:rsidP="00995BE5">
            <w:pPr>
              <w:spacing w:after="0" w:line="276" w:lineRule="auto"/>
              <w:rPr>
                <w:rFonts w:eastAsia="Times New Roman" w:cs="Tahoma"/>
                <w:color w:val="000000"/>
                <w:sz w:val="16"/>
                <w:szCs w:val="16"/>
                <w:lang w:eastAsia="sl-SI"/>
              </w:rPr>
            </w:pPr>
          </w:p>
        </w:tc>
        <w:tc>
          <w:tcPr>
            <w:tcW w:w="21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BC7381" w:rsidRDefault="00E61272" w:rsidP="00995BE5">
            <w:pPr>
              <w:spacing w:after="0" w:line="276" w:lineRule="auto"/>
              <w:rPr>
                <w:rFonts w:eastAsia="Times New Roman" w:cs="Tahoma"/>
                <w:b/>
                <w:color w:val="000000"/>
                <w:sz w:val="16"/>
                <w:szCs w:val="16"/>
                <w:lang w:eastAsia="sl-SI"/>
              </w:rPr>
            </w:pPr>
            <w:r w:rsidRPr="00BC7381">
              <w:rPr>
                <w:rFonts w:eastAsia="Times New Roman" w:cs="Tahoma"/>
                <w:b/>
                <w:color w:val="000000"/>
                <w:sz w:val="16"/>
                <w:szCs w:val="16"/>
                <w:lang w:eastAsia="sl-SI"/>
              </w:rPr>
              <w:t>Veljavne cene - na računu</w:t>
            </w:r>
          </w:p>
        </w:tc>
        <w:tc>
          <w:tcPr>
            <w:tcW w:w="2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tcPr>
          <w:p w:rsidR="00E61272" w:rsidRPr="00BC7381" w:rsidRDefault="00E61272" w:rsidP="00995BE5">
            <w:pPr>
              <w:spacing w:after="0" w:line="276" w:lineRule="auto"/>
              <w:rPr>
                <w:rFonts w:eastAsia="Times New Roman" w:cs="Tahoma"/>
                <w:b/>
                <w:color w:val="000000"/>
                <w:sz w:val="16"/>
                <w:szCs w:val="16"/>
                <w:lang w:eastAsia="sl-SI"/>
              </w:rPr>
            </w:pPr>
            <w:r w:rsidRPr="00BC7381">
              <w:rPr>
                <w:rFonts w:eastAsia="Times New Roman" w:cs="Tahoma"/>
                <w:b/>
                <w:color w:val="000000"/>
                <w:sz w:val="16"/>
                <w:szCs w:val="16"/>
                <w:lang w:eastAsia="sl-SI"/>
              </w:rPr>
              <w:t>Pred</w:t>
            </w:r>
            <w:r>
              <w:rPr>
                <w:rFonts w:eastAsia="Times New Roman" w:cs="Tahoma"/>
                <w:b/>
                <w:color w:val="000000"/>
                <w:sz w:val="16"/>
                <w:szCs w:val="16"/>
                <w:lang w:eastAsia="sl-SI"/>
              </w:rPr>
              <w:t>lagana</w:t>
            </w:r>
            <w:r w:rsidRPr="00BC7381">
              <w:rPr>
                <w:rFonts w:eastAsia="Times New Roman" w:cs="Tahoma"/>
                <w:b/>
                <w:color w:val="000000"/>
                <w:sz w:val="16"/>
                <w:szCs w:val="16"/>
                <w:lang w:eastAsia="sl-SI"/>
              </w:rPr>
              <w:t xml:space="preserve"> cena 2014</w:t>
            </w:r>
          </w:p>
        </w:tc>
      </w:tr>
      <w:tr w:rsidR="00E61272" w:rsidRPr="00D364E8" w:rsidTr="00941BA1">
        <w:trPr>
          <w:trHeight w:val="227"/>
        </w:trPr>
        <w:tc>
          <w:tcPr>
            <w:tcW w:w="516" w:type="dxa"/>
            <w:tcBorders>
              <w:top w:val="single" w:sz="4" w:space="0" w:color="808080" w:themeColor="background1" w:themeShade="80"/>
              <w:bottom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288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proofErr w:type="spellStart"/>
            <w:r w:rsidRPr="00D364E8">
              <w:rPr>
                <w:rFonts w:eastAsia="Times New Roman" w:cs="Tahoma"/>
                <w:sz w:val="16"/>
                <w:szCs w:val="16"/>
                <w:lang w:eastAsia="sl-SI"/>
              </w:rPr>
              <w:t>omrežnina</w:t>
            </w:r>
            <w:proofErr w:type="spellEnd"/>
          </w:p>
        </w:tc>
        <w:tc>
          <w:tcPr>
            <w:tcW w:w="212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noWrap/>
            <w:vAlign w:val="center"/>
          </w:tcPr>
          <w:p w:rsidR="00E61272" w:rsidRPr="00B1191A" w:rsidRDefault="000C74A3" w:rsidP="00995BE5">
            <w:pPr>
              <w:spacing w:after="0" w:line="276" w:lineRule="auto"/>
              <w:rPr>
                <w:rFonts w:eastAsia="Times New Roman" w:cs="Tahoma"/>
                <w:b/>
                <w:color w:val="000000"/>
                <w:sz w:val="16"/>
                <w:szCs w:val="16"/>
                <w:lang w:eastAsia="sl-SI"/>
              </w:rPr>
            </w:pPr>
            <w:r>
              <w:rPr>
                <w:rFonts w:eastAsia="Times New Roman" w:cs="Tahoma"/>
                <w:sz w:val="16"/>
                <w:szCs w:val="16"/>
                <w:lang w:eastAsia="sl-SI"/>
              </w:rPr>
              <w:t>s</w:t>
            </w:r>
            <w:r w:rsidR="00E61272">
              <w:rPr>
                <w:rFonts w:eastAsia="Times New Roman" w:cs="Tahoma"/>
                <w:sz w:val="16"/>
                <w:szCs w:val="16"/>
                <w:lang w:eastAsia="sl-SI"/>
              </w:rPr>
              <w:t>e ni obračunavalo</w:t>
            </w:r>
            <w:r>
              <w:rPr>
                <w:rFonts w:eastAsia="Times New Roman" w:cs="Tahoma"/>
                <w:sz w:val="16"/>
                <w:szCs w:val="16"/>
                <w:lang w:eastAsia="sl-SI"/>
              </w:rPr>
              <w:t xml:space="preserve"> ločeno</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r w:rsidRPr="00D364E8">
              <w:rPr>
                <w:rFonts w:eastAsia="Times New Roman" w:cs="Tahoma"/>
                <w:sz w:val="16"/>
                <w:szCs w:val="16"/>
                <w:lang w:eastAsia="sl-SI"/>
              </w:rPr>
              <w:t>EUR/mesec</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b/>
                <w:color w:val="000000"/>
                <w:sz w:val="16"/>
                <w:szCs w:val="16"/>
                <w:lang w:eastAsia="sl-SI"/>
              </w:rPr>
            </w:pPr>
            <w:r>
              <w:rPr>
                <w:rFonts w:eastAsia="Times New Roman" w:cs="Tahoma"/>
                <w:b/>
                <w:color w:val="000000"/>
                <w:sz w:val="16"/>
                <w:szCs w:val="16"/>
                <w:lang w:eastAsia="sl-SI"/>
              </w:rPr>
              <w:t>0,1039</w:t>
            </w:r>
          </w:p>
        </w:tc>
      </w:tr>
      <w:tr w:rsidR="00E61272" w:rsidRPr="00D364E8" w:rsidTr="00941BA1">
        <w:trPr>
          <w:trHeight w:val="227"/>
        </w:trPr>
        <w:tc>
          <w:tcPr>
            <w:tcW w:w="516" w:type="dxa"/>
            <w:tcBorders>
              <w:top w:val="single" w:sz="4" w:space="0" w:color="808080" w:themeColor="background1" w:themeShade="80"/>
              <w:bottom w:val="single" w:sz="8"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2886" w:type="dxa"/>
            <w:tcBorders>
              <w:top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r>
              <w:rPr>
                <w:rFonts w:eastAsia="Times New Roman" w:cs="Tahoma"/>
                <w:sz w:val="16"/>
                <w:szCs w:val="16"/>
                <w:lang w:eastAsia="sl-SI"/>
              </w:rPr>
              <w:t>čiščenje</w:t>
            </w:r>
            <w:r w:rsidRPr="00D364E8">
              <w:rPr>
                <w:rFonts w:eastAsia="Times New Roman" w:cs="Tahoma"/>
                <w:sz w:val="16"/>
                <w:szCs w:val="16"/>
                <w:lang w:eastAsia="sl-SI"/>
              </w:rPr>
              <w:t xml:space="preserve"> </w:t>
            </w:r>
            <w:r>
              <w:rPr>
                <w:rFonts w:eastAsia="Times New Roman" w:cs="Tahoma"/>
                <w:sz w:val="16"/>
                <w:szCs w:val="16"/>
                <w:lang w:eastAsia="sl-SI"/>
              </w:rPr>
              <w:t>padavinske</w:t>
            </w:r>
            <w:r w:rsidRPr="00D364E8">
              <w:rPr>
                <w:rFonts w:eastAsia="Times New Roman" w:cs="Tahoma"/>
                <w:sz w:val="16"/>
                <w:szCs w:val="16"/>
                <w:lang w:eastAsia="sl-SI"/>
              </w:rPr>
              <w:t xml:space="preserve"> odpadne vode</w:t>
            </w:r>
            <w:r>
              <w:rPr>
                <w:rFonts w:eastAsia="Times New Roman" w:cs="Tahoma"/>
                <w:sz w:val="16"/>
                <w:szCs w:val="16"/>
                <w:lang w:eastAsia="sl-SI"/>
              </w:rPr>
              <w:t xml:space="preserve"> iz streh</w:t>
            </w:r>
          </w:p>
        </w:tc>
        <w:tc>
          <w:tcPr>
            <w:tcW w:w="2127" w:type="dxa"/>
            <w:vMerge/>
            <w:tcBorders>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1276"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r w:rsidRPr="00D364E8">
              <w:rPr>
                <w:rFonts w:eastAsia="Times New Roman" w:cs="Tahoma"/>
                <w:sz w:val="16"/>
                <w:szCs w:val="16"/>
                <w:lang w:eastAsia="sl-SI"/>
              </w:rPr>
              <w:t>EUR/m3</w:t>
            </w:r>
          </w:p>
        </w:tc>
        <w:tc>
          <w:tcPr>
            <w:tcW w:w="1276" w:type="dxa"/>
            <w:tcBorders>
              <w:top w:val="single" w:sz="4" w:space="0" w:color="808080" w:themeColor="background1" w:themeShade="80"/>
              <w:left w:val="single" w:sz="4" w:space="0" w:color="808080" w:themeColor="background1" w:themeShade="80"/>
              <w:bottom w:val="single" w:sz="8"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b/>
                <w:color w:val="000000"/>
                <w:sz w:val="16"/>
                <w:szCs w:val="16"/>
                <w:lang w:eastAsia="sl-SI"/>
              </w:rPr>
            </w:pPr>
            <w:r>
              <w:rPr>
                <w:rFonts w:eastAsia="Times New Roman" w:cs="Tahoma"/>
                <w:b/>
                <w:color w:val="000000"/>
                <w:sz w:val="16"/>
                <w:szCs w:val="16"/>
                <w:lang w:eastAsia="sl-SI"/>
              </w:rPr>
              <w:t>0,0441</w:t>
            </w:r>
          </w:p>
        </w:tc>
      </w:tr>
    </w:tbl>
    <w:p w:rsidR="00E61272" w:rsidRDefault="00E61272" w:rsidP="00995BE5">
      <w:pPr>
        <w:spacing w:after="0" w:line="276" w:lineRule="auto"/>
      </w:pPr>
    </w:p>
    <w:p w:rsidR="00F77A0D" w:rsidRDefault="00F77A0D" w:rsidP="00995BE5">
      <w:pPr>
        <w:spacing w:after="0" w:line="276" w:lineRule="auto"/>
      </w:pPr>
      <w:r>
        <w:t>-----------------------------------------------------------------------------------------------------------------</w:t>
      </w:r>
    </w:p>
    <w:p w:rsidR="00F77A0D" w:rsidRPr="00F77A0D" w:rsidRDefault="000C74A3" w:rsidP="00995BE5">
      <w:pPr>
        <w:spacing w:after="0" w:line="276" w:lineRule="auto"/>
        <w:rPr>
          <w:i/>
        </w:rPr>
      </w:pPr>
      <w:r>
        <w:rPr>
          <w:i/>
        </w:rPr>
        <w:t>Predlog V</w:t>
      </w:r>
      <w:r w:rsidR="00F77A0D" w:rsidRPr="00F77A0D">
        <w:rPr>
          <w:i/>
        </w:rPr>
        <w:t>ladi:</w:t>
      </w:r>
    </w:p>
    <w:p w:rsidR="009C7C6D" w:rsidRDefault="00D23B5D" w:rsidP="00F77A0D">
      <w:pPr>
        <w:numPr>
          <w:ilvl w:val="1"/>
          <w:numId w:val="8"/>
        </w:numPr>
        <w:spacing w:after="0" w:line="276" w:lineRule="auto"/>
        <w:rPr>
          <w:i/>
        </w:rPr>
      </w:pPr>
      <w:proofErr w:type="spellStart"/>
      <w:r w:rsidRPr="00F77A0D">
        <w:rPr>
          <w:i/>
        </w:rPr>
        <w:t>omrežnina</w:t>
      </w:r>
      <w:proofErr w:type="spellEnd"/>
      <w:r w:rsidRPr="00F77A0D">
        <w:rPr>
          <w:i/>
        </w:rPr>
        <w:t xml:space="preserve"> za odvajanje in čiščenje padavinske odpadne vode naj se zaračunava le na tloris strehe (po Uredbi se ta </w:t>
      </w:r>
      <w:proofErr w:type="spellStart"/>
      <w:r w:rsidRPr="00F77A0D">
        <w:rPr>
          <w:i/>
        </w:rPr>
        <w:t>omrežnina</w:t>
      </w:r>
      <w:proofErr w:type="spellEnd"/>
      <w:r w:rsidRPr="00F77A0D">
        <w:rPr>
          <w:i/>
        </w:rPr>
        <w:t xml:space="preserve"> zaračunava po vodomeru za dovedeno pitno vodo)</w:t>
      </w:r>
    </w:p>
    <w:p w:rsidR="00F77A0D" w:rsidRPr="00F77A0D" w:rsidRDefault="00F77A0D" w:rsidP="00F77A0D">
      <w:pPr>
        <w:spacing w:after="0" w:line="276" w:lineRule="auto"/>
        <w:rPr>
          <w:i/>
        </w:rPr>
      </w:pPr>
      <w:r>
        <w:rPr>
          <w:i/>
        </w:rPr>
        <w:t>-----------------------------------------------------------------------------------------------------------------</w:t>
      </w:r>
    </w:p>
    <w:p w:rsidR="00F77A0D" w:rsidRDefault="00F77A0D" w:rsidP="00995BE5">
      <w:pPr>
        <w:spacing w:after="0" w:line="276" w:lineRule="auto"/>
      </w:pPr>
    </w:p>
    <w:p w:rsidR="00995BE5" w:rsidRDefault="00995BE5" w:rsidP="00995BE5">
      <w:pPr>
        <w:spacing w:after="0" w:line="276" w:lineRule="auto"/>
        <w:rPr>
          <w:b/>
        </w:rPr>
      </w:pPr>
    </w:p>
    <w:p w:rsidR="00E61272" w:rsidRDefault="00E61272" w:rsidP="00995BE5">
      <w:pPr>
        <w:spacing w:after="0" w:line="276" w:lineRule="auto"/>
        <w:rPr>
          <w:b/>
        </w:rPr>
      </w:pPr>
      <w:r>
        <w:rPr>
          <w:b/>
        </w:rPr>
        <w:t>Storitve, povezane z nepretočnimi greznicami, obstoječimi greznicami in malimi komunalnimi čistilnimi napravami (MKČN)</w:t>
      </w:r>
    </w:p>
    <w:p w:rsidR="00995BE5" w:rsidRPr="00B1191A" w:rsidRDefault="00995BE5" w:rsidP="00995BE5">
      <w:pPr>
        <w:spacing w:after="0" w:line="276" w:lineRule="auto"/>
        <w:rPr>
          <w:b/>
        </w:rPr>
      </w:pPr>
    </w:p>
    <w:p w:rsidR="00E61272" w:rsidRDefault="00E61272" w:rsidP="00995BE5">
      <w:pPr>
        <w:spacing w:after="0" w:line="276" w:lineRule="auto"/>
      </w:pPr>
      <w:r>
        <w:t xml:space="preserve">Storitve povezane s prevzemom in čiščenjem vsebin greznic in MKČN ter izdelavo ocene obratovanja, se trenutno obračunavajo ločeno po posameznih storitvah, ko so le-te  opravljene. V veljavni ceni so upoštevani tako stroški storitve, kot tudi stroški infrastrukture. </w:t>
      </w:r>
    </w:p>
    <w:p w:rsidR="00E61272" w:rsidRPr="00F4775A" w:rsidRDefault="00E61272" w:rsidP="00995BE5">
      <w:pPr>
        <w:spacing w:after="0" w:line="276" w:lineRule="auto"/>
      </w:pPr>
      <w:r>
        <w:t xml:space="preserve">Po novem bodo vsi stroški, ki nastanejo zardi prevzema in čiščenja vsebin iz greznic ali MKČN in stroški izdelave ocene obratovanja, zajeti v novi storitvi (Storitve povezane z nepretočnimi </w:t>
      </w:r>
      <w:r>
        <w:lastRenderedPageBreak/>
        <w:t>greznicami, obstoječimi greznicami in MKČN). Storitev se bo po novem obračuna</w:t>
      </w:r>
      <w:r w:rsidR="000C74A3">
        <w:t>va</w:t>
      </w:r>
      <w:r>
        <w:t xml:space="preserve">la </w:t>
      </w:r>
      <w:r w:rsidR="000C74A3">
        <w:t xml:space="preserve">mesečno </w:t>
      </w:r>
      <w:r>
        <w:t>na podlagi dovedene vode v m</w:t>
      </w:r>
      <w:r>
        <w:rPr>
          <w:vertAlign w:val="superscript"/>
        </w:rPr>
        <w:t>3</w:t>
      </w:r>
      <w:r>
        <w:t xml:space="preserve">, </w:t>
      </w:r>
      <w:proofErr w:type="spellStart"/>
      <w:r>
        <w:t>omrežnina</w:t>
      </w:r>
      <w:proofErr w:type="spellEnd"/>
      <w:r>
        <w:t xml:space="preserve"> </w:t>
      </w:r>
      <w:r w:rsidR="00995BE5">
        <w:t>pa</w:t>
      </w:r>
      <w:r>
        <w:t xml:space="preserve"> glede na število faktorjev </w:t>
      </w:r>
      <w:proofErr w:type="spellStart"/>
      <w:r>
        <w:t>omrežnine</w:t>
      </w:r>
      <w:proofErr w:type="spellEnd"/>
      <w:r w:rsidR="000C74A3">
        <w:t>:</w:t>
      </w:r>
      <w:r>
        <w:t xml:space="preserve"> </w:t>
      </w:r>
    </w:p>
    <w:p w:rsidR="00E61272" w:rsidRDefault="00E61272" w:rsidP="00995BE5">
      <w:pPr>
        <w:spacing w:after="0" w:line="276" w:lineRule="auto"/>
        <w:rPr>
          <w:b/>
        </w:rPr>
      </w:pPr>
    </w:p>
    <w:tbl>
      <w:tblPr>
        <w:tblW w:w="815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blBorders>
        <w:tblCellMar>
          <w:left w:w="70" w:type="dxa"/>
          <w:right w:w="70" w:type="dxa"/>
        </w:tblCellMar>
        <w:tblLook w:val="04A0" w:firstRow="1" w:lastRow="0" w:firstColumn="1" w:lastColumn="0" w:noHBand="0" w:noVBand="1"/>
      </w:tblPr>
      <w:tblGrid>
        <w:gridCol w:w="516"/>
        <w:gridCol w:w="2886"/>
        <w:gridCol w:w="1063"/>
        <w:gridCol w:w="992"/>
        <w:gridCol w:w="1417"/>
        <w:gridCol w:w="1276"/>
      </w:tblGrid>
      <w:tr w:rsidR="00E61272" w:rsidRPr="00BC7381" w:rsidTr="00941BA1">
        <w:trPr>
          <w:trHeight w:val="227"/>
        </w:trPr>
        <w:tc>
          <w:tcPr>
            <w:tcW w:w="516" w:type="dxa"/>
            <w:tcBorders>
              <w:top w:val="single" w:sz="4" w:space="0" w:color="808080" w:themeColor="background1" w:themeShade="80"/>
              <w:bottom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288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A9296C" w:rsidRDefault="00E61272" w:rsidP="00995BE5">
            <w:pPr>
              <w:spacing w:after="0" w:line="276" w:lineRule="auto"/>
              <w:rPr>
                <w:rFonts w:eastAsia="Times New Roman" w:cs="Tahoma"/>
                <w:color w:val="000000"/>
                <w:sz w:val="16"/>
                <w:szCs w:val="16"/>
                <w:lang w:eastAsia="sl-SI"/>
              </w:rPr>
            </w:pPr>
          </w:p>
        </w:tc>
        <w:tc>
          <w:tcPr>
            <w:tcW w:w="20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BC7381" w:rsidRDefault="00E61272" w:rsidP="00995BE5">
            <w:pPr>
              <w:spacing w:after="0" w:line="276" w:lineRule="auto"/>
              <w:rPr>
                <w:rFonts w:eastAsia="Times New Roman" w:cs="Tahoma"/>
                <w:b/>
                <w:color w:val="000000"/>
                <w:sz w:val="16"/>
                <w:szCs w:val="16"/>
                <w:lang w:eastAsia="sl-SI"/>
              </w:rPr>
            </w:pPr>
            <w:r w:rsidRPr="00BC7381">
              <w:rPr>
                <w:rFonts w:eastAsia="Times New Roman" w:cs="Tahoma"/>
                <w:b/>
                <w:color w:val="000000"/>
                <w:sz w:val="16"/>
                <w:szCs w:val="16"/>
                <w:lang w:eastAsia="sl-SI"/>
              </w:rPr>
              <w:t>Veljavne cene - na računu</w:t>
            </w:r>
          </w:p>
        </w:tc>
        <w:tc>
          <w:tcPr>
            <w:tcW w:w="269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tcPr>
          <w:p w:rsidR="00E61272" w:rsidRPr="00BC7381" w:rsidRDefault="00E61272" w:rsidP="00995BE5">
            <w:pPr>
              <w:spacing w:after="0" w:line="276" w:lineRule="auto"/>
              <w:rPr>
                <w:rFonts w:eastAsia="Times New Roman" w:cs="Tahoma"/>
                <w:b/>
                <w:color w:val="000000"/>
                <w:sz w:val="16"/>
                <w:szCs w:val="16"/>
                <w:lang w:eastAsia="sl-SI"/>
              </w:rPr>
            </w:pPr>
            <w:r w:rsidRPr="00BC7381">
              <w:rPr>
                <w:rFonts w:eastAsia="Times New Roman" w:cs="Tahoma"/>
                <w:b/>
                <w:color w:val="000000"/>
                <w:sz w:val="16"/>
                <w:szCs w:val="16"/>
                <w:lang w:eastAsia="sl-SI"/>
              </w:rPr>
              <w:t>Pred</w:t>
            </w:r>
            <w:r>
              <w:rPr>
                <w:rFonts w:eastAsia="Times New Roman" w:cs="Tahoma"/>
                <w:b/>
                <w:color w:val="000000"/>
                <w:sz w:val="16"/>
                <w:szCs w:val="16"/>
                <w:lang w:eastAsia="sl-SI"/>
              </w:rPr>
              <w:t>računska</w:t>
            </w:r>
            <w:r w:rsidRPr="00BC7381">
              <w:rPr>
                <w:rFonts w:eastAsia="Times New Roman" w:cs="Tahoma"/>
                <w:b/>
                <w:color w:val="000000"/>
                <w:sz w:val="16"/>
                <w:szCs w:val="16"/>
                <w:lang w:eastAsia="sl-SI"/>
              </w:rPr>
              <w:t xml:space="preserve"> cena 2014</w:t>
            </w:r>
          </w:p>
        </w:tc>
      </w:tr>
      <w:tr w:rsidR="00E61272" w:rsidRPr="00D364E8" w:rsidTr="00941BA1">
        <w:trPr>
          <w:trHeight w:val="227"/>
        </w:trPr>
        <w:tc>
          <w:tcPr>
            <w:tcW w:w="516" w:type="dxa"/>
            <w:tcBorders>
              <w:top w:val="single" w:sz="4" w:space="0" w:color="808080" w:themeColor="background1" w:themeShade="80"/>
              <w:bottom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288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r>
              <w:rPr>
                <w:rFonts w:eastAsia="Times New Roman" w:cs="Tahoma"/>
                <w:sz w:val="16"/>
                <w:szCs w:val="16"/>
                <w:lang w:eastAsia="sl-SI"/>
              </w:rPr>
              <w:t>prevzem vsebine iz gr. ali MKČN</w:t>
            </w:r>
          </w:p>
        </w:tc>
        <w:tc>
          <w:tcPr>
            <w:tcW w:w="106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noWrap/>
            <w:vAlign w:val="center"/>
          </w:tcPr>
          <w:p w:rsidR="00E61272" w:rsidRDefault="00E61272" w:rsidP="00995BE5">
            <w:pPr>
              <w:spacing w:after="0" w:line="276" w:lineRule="auto"/>
              <w:rPr>
                <w:rFonts w:eastAsia="Times New Roman" w:cs="Tahoma"/>
                <w:sz w:val="16"/>
                <w:szCs w:val="16"/>
                <w:lang w:eastAsia="sl-SI"/>
              </w:rPr>
            </w:pPr>
            <w:r w:rsidRPr="00D364E8">
              <w:rPr>
                <w:rFonts w:eastAsia="Times New Roman" w:cs="Tahoma"/>
                <w:sz w:val="16"/>
                <w:szCs w:val="16"/>
                <w:lang w:eastAsia="sl-SI"/>
              </w:rPr>
              <w:t>EUR/m</w:t>
            </w:r>
            <w:r w:rsidRPr="00CC77A2">
              <w:rPr>
                <w:rFonts w:eastAsia="Times New Roman" w:cs="Tahoma"/>
                <w:sz w:val="16"/>
                <w:szCs w:val="16"/>
                <w:vertAlign w:val="superscript"/>
                <w:lang w:eastAsia="sl-SI"/>
              </w:rPr>
              <w:t>3</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61272" w:rsidRDefault="00E61272" w:rsidP="00995BE5">
            <w:pPr>
              <w:spacing w:after="0" w:line="276" w:lineRule="auto"/>
              <w:rPr>
                <w:rFonts w:eastAsia="Times New Roman" w:cs="Tahoma"/>
                <w:b/>
                <w:color w:val="000000"/>
                <w:sz w:val="16"/>
                <w:szCs w:val="16"/>
                <w:lang w:eastAsia="sl-SI"/>
              </w:rPr>
            </w:pPr>
            <w:r>
              <w:rPr>
                <w:rFonts w:eastAsia="Times New Roman" w:cs="Tahoma"/>
                <w:b/>
                <w:color w:val="000000"/>
                <w:sz w:val="16"/>
                <w:szCs w:val="16"/>
                <w:lang w:eastAsia="sl-SI"/>
              </w:rPr>
              <w:t>17,4298</w:t>
            </w:r>
          </w:p>
        </w:tc>
        <w:tc>
          <w:tcPr>
            <w:tcW w:w="2693" w:type="dxa"/>
            <w:gridSpan w:val="2"/>
            <w:vMerge w:val="restart"/>
            <w:tcBorders>
              <w:top w:val="single" w:sz="4" w:space="0" w:color="808080" w:themeColor="background1" w:themeShade="80"/>
              <w:left w:val="single" w:sz="4" w:space="0" w:color="808080" w:themeColor="background1" w:themeShade="80"/>
            </w:tcBorders>
            <w:shd w:val="clear" w:color="auto" w:fill="auto"/>
            <w:noWrap/>
            <w:vAlign w:val="bottom"/>
          </w:tcPr>
          <w:p w:rsidR="00E61272" w:rsidRDefault="00E61272" w:rsidP="00995BE5">
            <w:pPr>
              <w:spacing w:after="0" w:line="276" w:lineRule="auto"/>
              <w:rPr>
                <w:rFonts w:eastAsia="Times New Roman" w:cs="Tahoma"/>
                <w:b/>
                <w:color w:val="000000"/>
                <w:sz w:val="16"/>
                <w:szCs w:val="16"/>
                <w:lang w:eastAsia="sl-SI"/>
              </w:rPr>
            </w:pPr>
          </w:p>
        </w:tc>
      </w:tr>
      <w:tr w:rsidR="00E61272" w:rsidRPr="00D364E8" w:rsidTr="00941BA1">
        <w:trPr>
          <w:trHeight w:val="227"/>
        </w:trPr>
        <w:tc>
          <w:tcPr>
            <w:tcW w:w="516" w:type="dxa"/>
            <w:tcBorders>
              <w:top w:val="single" w:sz="4" w:space="0" w:color="808080" w:themeColor="background1" w:themeShade="80"/>
              <w:bottom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288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r>
              <w:rPr>
                <w:rFonts w:eastAsia="Times New Roman" w:cs="Tahoma"/>
                <w:sz w:val="16"/>
                <w:szCs w:val="16"/>
                <w:lang w:eastAsia="sl-SI"/>
              </w:rPr>
              <w:t>čiščenje vsebine iz gr. ali MKČN</w:t>
            </w:r>
          </w:p>
        </w:tc>
        <w:tc>
          <w:tcPr>
            <w:tcW w:w="106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noWrap/>
            <w:vAlign w:val="center"/>
          </w:tcPr>
          <w:p w:rsidR="00E61272" w:rsidRDefault="00E61272" w:rsidP="00995BE5">
            <w:pPr>
              <w:spacing w:after="0" w:line="276" w:lineRule="auto"/>
              <w:rPr>
                <w:rFonts w:eastAsia="Times New Roman" w:cs="Tahoma"/>
                <w:sz w:val="16"/>
                <w:szCs w:val="16"/>
                <w:lang w:eastAsia="sl-SI"/>
              </w:rPr>
            </w:pPr>
            <w:r w:rsidRPr="00D364E8">
              <w:rPr>
                <w:rFonts w:eastAsia="Times New Roman" w:cs="Tahoma"/>
                <w:sz w:val="16"/>
                <w:szCs w:val="16"/>
                <w:lang w:eastAsia="sl-SI"/>
              </w:rPr>
              <w:t>EUR/m</w:t>
            </w:r>
            <w:r w:rsidRPr="00CC77A2">
              <w:rPr>
                <w:rFonts w:eastAsia="Times New Roman" w:cs="Tahoma"/>
                <w:sz w:val="16"/>
                <w:szCs w:val="16"/>
                <w:vertAlign w:val="superscript"/>
                <w:lang w:eastAsia="sl-SI"/>
              </w:rPr>
              <w:t>3</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61272" w:rsidRDefault="00E61272" w:rsidP="00995BE5">
            <w:pPr>
              <w:spacing w:after="0" w:line="276" w:lineRule="auto"/>
              <w:rPr>
                <w:rFonts w:eastAsia="Times New Roman" w:cs="Tahoma"/>
                <w:b/>
                <w:color w:val="000000"/>
                <w:sz w:val="16"/>
                <w:szCs w:val="16"/>
                <w:lang w:eastAsia="sl-SI"/>
              </w:rPr>
            </w:pPr>
            <w:r>
              <w:rPr>
                <w:rFonts w:eastAsia="Times New Roman" w:cs="Tahoma"/>
                <w:b/>
                <w:color w:val="000000"/>
                <w:sz w:val="16"/>
                <w:szCs w:val="16"/>
                <w:lang w:eastAsia="sl-SI"/>
              </w:rPr>
              <w:t>13,4190</w:t>
            </w:r>
          </w:p>
        </w:tc>
        <w:tc>
          <w:tcPr>
            <w:tcW w:w="2693" w:type="dxa"/>
            <w:gridSpan w:val="2"/>
            <w:vMerge/>
            <w:tcBorders>
              <w:left w:val="single" w:sz="4" w:space="0" w:color="808080" w:themeColor="background1" w:themeShade="80"/>
            </w:tcBorders>
            <w:shd w:val="clear" w:color="auto" w:fill="auto"/>
            <w:noWrap/>
            <w:vAlign w:val="bottom"/>
          </w:tcPr>
          <w:p w:rsidR="00E61272" w:rsidRDefault="00E61272" w:rsidP="00995BE5">
            <w:pPr>
              <w:spacing w:after="0" w:line="276" w:lineRule="auto"/>
              <w:rPr>
                <w:rFonts w:eastAsia="Times New Roman" w:cs="Tahoma"/>
                <w:b/>
                <w:color w:val="000000"/>
                <w:sz w:val="16"/>
                <w:szCs w:val="16"/>
                <w:lang w:eastAsia="sl-SI"/>
              </w:rPr>
            </w:pPr>
          </w:p>
        </w:tc>
      </w:tr>
      <w:tr w:rsidR="00E61272" w:rsidRPr="00D364E8" w:rsidTr="00941BA1">
        <w:trPr>
          <w:trHeight w:val="227"/>
        </w:trPr>
        <w:tc>
          <w:tcPr>
            <w:tcW w:w="516" w:type="dxa"/>
            <w:tcBorders>
              <w:top w:val="single" w:sz="4" w:space="0" w:color="808080" w:themeColor="background1" w:themeShade="80"/>
              <w:bottom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288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r>
              <w:rPr>
                <w:rFonts w:eastAsia="Times New Roman" w:cs="Tahoma"/>
                <w:sz w:val="16"/>
                <w:szCs w:val="16"/>
                <w:lang w:eastAsia="sl-SI"/>
              </w:rPr>
              <w:t>Izdelava ocene obratovanja</w:t>
            </w:r>
          </w:p>
        </w:tc>
        <w:tc>
          <w:tcPr>
            <w:tcW w:w="106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noWrap/>
            <w:vAlign w:val="center"/>
          </w:tcPr>
          <w:p w:rsidR="00E61272" w:rsidRDefault="00E61272" w:rsidP="00995BE5">
            <w:pPr>
              <w:spacing w:after="0" w:line="276" w:lineRule="auto"/>
              <w:rPr>
                <w:rFonts w:eastAsia="Times New Roman" w:cs="Tahoma"/>
                <w:sz w:val="16"/>
                <w:szCs w:val="16"/>
                <w:lang w:eastAsia="sl-SI"/>
              </w:rPr>
            </w:pPr>
            <w:r w:rsidRPr="00D364E8">
              <w:rPr>
                <w:rFonts w:eastAsia="Times New Roman" w:cs="Tahoma"/>
                <w:sz w:val="16"/>
                <w:szCs w:val="16"/>
                <w:lang w:eastAsia="sl-SI"/>
              </w:rPr>
              <w:t>EUR/</w:t>
            </w:r>
            <w:r>
              <w:rPr>
                <w:rFonts w:eastAsia="Times New Roman" w:cs="Tahoma"/>
                <w:sz w:val="16"/>
                <w:szCs w:val="16"/>
                <w:lang w:eastAsia="sl-SI"/>
              </w:rPr>
              <w:t>kos</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61272" w:rsidRDefault="00E61272" w:rsidP="00995BE5">
            <w:pPr>
              <w:spacing w:after="0" w:line="276" w:lineRule="auto"/>
              <w:rPr>
                <w:rFonts w:eastAsia="Times New Roman" w:cs="Tahoma"/>
                <w:b/>
                <w:color w:val="000000"/>
                <w:sz w:val="16"/>
                <w:szCs w:val="16"/>
                <w:lang w:eastAsia="sl-SI"/>
              </w:rPr>
            </w:pPr>
            <w:r>
              <w:rPr>
                <w:rFonts w:eastAsia="Times New Roman" w:cs="Tahoma"/>
                <w:b/>
                <w:color w:val="000000"/>
                <w:sz w:val="16"/>
                <w:szCs w:val="16"/>
                <w:lang w:eastAsia="sl-SI"/>
              </w:rPr>
              <w:t>93,5000</w:t>
            </w:r>
          </w:p>
        </w:tc>
        <w:tc>
          <w:tcPr>
            <w:tcW w:w="2693" w:type="dxa"/>
            <w:gridSpan w:val="2"/>
            <w:vMerge/>
            <w:tcBorders>
              <w:left w:val="single" w:sz="4" w:space="0" w:color="808080" w:themeColor="background1" w:themeShade="80"/>
              <w:bottom w:val="single" w:sz="4" w:space="0" w:color="808080" w:themeColor="background1" w:themeShade="80"/>
            </w:tcBorders>
            <w:shd w:val="clear" w:color="auto" w:fill="auto"/>
            <w:noWrap/>
            <w:vAlign w:val="bottom"/>
          </w:tcPr>
          <w:p w:rsidR="00E61272" w:rsidRDefault="00E61272" w:rsidP="00995BE5">
            <w:pPr>
              <w:spacing w:after="0" w:line="276" w:lineRule="auto"/>
              <w:rPr>
                <w:rFonts w:eastAsia="Times New Roman" w:cs="Tahoma"/>
                <w:b/>
                <w:color w:val="000000"/>
                <w:sz w:val="16"/>
                <w:szCs w:val="16"/>
                <w:lang w:eastAsia="sl-SI"/>
              </w:rPr>
            </w:pPr>
          </w:p>
        </w:tc>
      </w:tr>
      <w:tr w:rsidR="00E61272" w:rsidRPr="00D364E8" w:rsidTr="00941BA1">
        <w:trPr>
          <w:trHeight w:val="227"/>
        </w:trPr>
        <w:tc>
          <w:tcPr>
            <w:tcW w:w="516" w:type="dxa"/>
            <w:tcBorders>
              <w:top w:val="single" w:sz="4" w:space="0" w:color="808080" w:themeColor="background1" w:themeShade="80"/>
              <w:bottom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288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proofErr w:type="spellStart"/>
            <w:r w:rsidRPr="00D364E8">
              <w:rPr>
                <w:rFonts w:eastAsia="Times New Roman" w:cs="Tahoma"/>
                <w:sz w:val="16"/>
                <w:szCs w:val="16"/>
                <w:lang w:eastAsia="sl-SI"/>
              </w:rPr>
              <w:t>omrežnina</w:t>
            </w:r>
            <w:proofErr w:type="spellEnd"/>
          </w:p>
        </w:tc>
        <w:tc>
          <w:tcPr>
            <w:tcW w:w="2055"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noWrap/>
            <w:vAlign w:val="center"/>
          </w:tcPr>
          <w:p w:rsidR="00E61272" w:rsidRPr="00D364E8" w:rsidRDefault="00E61272" w:rsidP="00995BE5">
            <w:pPr>
              <w:spacing w:after="0" w:line="276" w:lineRule="auto"/>
              <w:rPr>
                <w:rFonts w:eastAsia="Times New Roman" w:cs="Tahoma"/>
                <w:sz w:val="16"/>
                <w:szCs w:val="16"/>
                <w:lang w:eastAsia="sl-SI"/>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rsidR="00E61272" w:rsidRPr="00F4775A" w:rsidRDefault="00E61272" w:rsidP="00995BE5">
            <w:pPr>
              <w:spacing w:after="0" w:line="276" w:lineRule="auto"/>
              <w:rPr>
                <w:rFonts w:eastAsia="Times New Roman" w:cs="Tahoma"/>
                <w:b/>
                <w:sz w:val="16"/>
                <w:szCs w:val="16"/>
                <w:lang w:eastAsia="sl-SI"/>
              </w:rPr>
            </w:pPr>
            <w:r w:rsidRPr="00F4775A">
              <w:rPr>
                <w:rFonts w:eastAsia="Times New Roman" w:cs="Tahoma"/>
                <w:b/>
                <w:sz w:val="16"/>
                <w:szCs w:val="16"/>
                <w:lang w:eastAsia="sl-SI"/>
              </w:rPr>
              <w:t>EUR/mesec</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bottom"/>
          </w:tcPr>
          <w:p w:rsidR="00E61272" w:rsidRPr="00F4775A" w:rsidRDefault="00E61272" w:rsidP="00995BE5">
            <w:pPr>
              <w:spacing w:after="0" w:line="276" w:lineRule="auto"/>
              <w:rPr>
                <w:rFonts w:eastAsia="Times New Roman" w:cs="Tahoma"/>
                <w:b/>
                <w:color w:val="000000"/>
                <w:sz w:val="16"/>
                <w:szCs w:val="16"/>
                <w:lang w:eastAsia="sl-SI"/>
              </w:rPr>
            </w:pPr>
            <w:r>
              <w:rPr>
                <w:rFonts w:eastAsia="Times New Roman" w:cs="Tahoma"/>
                <w:b/>
                <w:color w:val="000000"/>
                <w:sz w:val="16"/>
                <w:szCs w:val="16"/>
                <w:lang w:eastAsia="sl-SI"/>
              </w:rPr>
              <w:t>1,0354</w:t>
            </w:r>
          </w:p>
        </w:tc>
      </w:tr>
      <w:tr w:rsidR="00E61272" w:rsidRPr="00D364E8" w:rsidTr="00941BA1">
        <w:trPr>
          <w:trHeight w:val="227"/>
        </w:trPr>
        <w:tc>
          <w:tcPr>
            <w:tcW w:w="516" w:type="dxa"/>
            <w:tcBorders>
              <w:top w:val="single" w:sz="4" w:space="0" w:color="808080" w:themeColor="background1" w:themeShade="80"/>
              <w:bottom w:val="single" w:sz="8"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color w:val="000000"/>
                <w:sz w:val="16"/>
                <w:szCs w:val="16"/>
                <w:lang w:eastAsia="sl-SI"/>
              </w:rPr>
            </w:pPr>
          </w:p>
        </w:tc>
        <w:tc>
          <w:tcPr>
            <w:tcW w:w="2886" w:type="dxa"/>
            <w:tcBorders>
              <w:top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r>
              <w:rPr>
                <w:rFonts w:eastAsia="Times New Roman" w:cs="Tahoma"/>
                <w:sz w:val="16"/>
                <w:szCs w:val="16"/>
                <w:lang w:eastAsia="sl-SI"/>
              </w:rPr>
              <w:t>storitev (greznice in MKČN)</w:t>
            </w:r>
          </w:p>
        </w:tc>
        <w:tc>
          <w:tcPr>
            <w:tcW w:w="2055" w:type="dxa"/>
            <w:gridSpan w:val="2"/>
            <w:vMerge/>
            <w:tcBorders>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bottom"/>
          </w:tcPr>
          <w:p w:rsidR="00E61272" w:rsidRPr="00D364E8" w:rsidRDefault="00E61272" w:rsidP="00995BE5">
            <w:pPr>
              <w:spacing w:after="0" w:line="276" w:lineRule="auto"/>
              <w:rPr>
                <w:rFonts w:eastAsia="Times New Roman" w:cs="Tahoma"/>
                <w:sz w:val="16"/>
                <w:szCs w:val="16"/>
                <w:lang w:eastAsia="sl-SI"/>
              </w:rPr>
            </w:pPr>
          </w:p>
        </w:tc>
        <w:tc>
          <w:tcPr>
            <w:tcW w:w="1417"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bottom"/>
          </w:tcPr>
          <w:p w:rsidR="00E61272" w:rsidRPr="00F4775A" w:rsidRDefault="00E61272" w:rsidP="00995BE5">
            <w:pPr>
              <w:spacing w:after="0" w:line="276" w:lineRule="auto"/>
              <w:rPr>
                <w:rFonts w:eastAsia="Times New Roman" w:cs="Tahoma"/>
                <w:b/>
                <w:sz w:val="16"/>
                <w:szCs w:val="16"/>
                <w:lang w:eastAsia="sl-SI"/>
              </w:rPr>
            </w:pPr>
            <w:r w:rsidRPr="00F4775A">
              <w:rPr>
                <w:rFonts w:eastAsia="Times New Roman" w:cs="Tahoma"/>
                <w:b/>
                <w:sz w:val="16"/>
                <w:szCs w:val="16"/>
                <w:lang w:eastAsia="sl-SI"/>
              </w:rPr>
              <w:t>EUR/m</w:t>
            </w:r>
            <w:r w:rsidRPr="00CC77A2">
              <w:rPr>
                <w:rFonts w:eastAsia="Times New Roman" w:cs="Tahoma"/>
                <w:b/>
                <w:sz w:val="16"/>
                <w:szCs w:val="16"/>
                <w:vertAlign w:val="superscript"/>
                <w:lang w:eastAsia="sl-SI"/>
              </w:rPr>
              <w:t>3</w:t>
            </w:r>
          </w:p>
        </w:tc>
        <w:tc>
          <w:tcPr>
            <w:tcW w:w="1276" w:type="dxa"/>
            <w:tcBorders>
              <w:top w:val="single" w:sz="4" w:space="0" w:color="808080" w:themeColor="background1" w:themeShade="80"/>
              <w:left w:val="single" w:sz="4" w:space="0" w:color="808080" w:themeColor="background1" w:themeShade="80"/>
              <w:bottom w:val="single" w:sz="8" w:space="0" w:color="808080" w:themeColor="background1" w:themeShade="80"/>
            </w:tcBorders>
            <w:shd w:val="clear" w:color="auto" w:fill="auto"/>
            <w:noWrap/>
            <w:vAlign w:val="bottom"/>
          </w:tcPr>
          <w:p w:rsidR="00E61272" w:rsidRPr="00F4775A" w:rsidRDefault="00E61272" w:rsidP="00995BE5">
            <w:pPr>
              <w:spacing w:after="0" w:line="276" w:lineRule="auto"/>
              <w:rPr>
                <w:rFonts w:eastAsia="Times New Roman" w:cs="Tahoma"/>
                <w:b/>
                <w:color w:val="000000"/>
                <w:sz w:val="16"/>
                <w:szCs w:val="16"/>
                <w:lang w:eastAsia="sl-SI"/>
              </w:rPr>
            </w:pPr>
            <w:r>
              <w:rPr>
                <w:rFonts w:eastAsia="Times New Roman" w:cs="Tahoma"/>
                <w:b/>
                <w:color w:val="000000"/>
                <w:sz w:val="16"/>
                <w:szCs w:val="16"/>
                <w:lang w:eastAsia="sl-SI"/>
              </w:rPr>
              <w:t>0,4560</w:t>
            </w:r>
          </w:p>
        </w:tc>
      </w:tr>
    </w:tbl>
    <w:p w:rsidR="00E61272" w:rsidRDefault="00E61272" w:rsidP="00995BE5">
      <w:pPr>
        <w:spacing w:after="0" w:line="276" w:lineRule="auto"/>
        <w:rPr>
          <w:b/>
        </w:rPr>
      </w:pPr>
    </w:p>
    <w:p w:rsidR="00845F0A" w:rsidRDefault="00845F0A" w:rsidP="00845F0A">
      <w:pPr>
        <w:spacing w:after="0" w:line="276" w:lineRule="auto"/>
        <w:rPr>
          <w:rFonts w:eastAsia="Times New Roman" w:cs="Tahoma"/>
          <w:b/>
          <w:bCs/>
          <w:lang w:eastAsia="sl-SI"/>
        </w:rPr>
      </w:pPr>
    </w:p>
    <w:p w:rsidR="00845F0A" w:rsidRPr="00845F0A" w:rsidRDefault="00845F0A" w:rsidP="00845F0A">
      <w:pPr>
        <w:spacing w:after="0" w:line="276" w:lineRule="auto"/>
        <w:rPr>
          <w:rFonts w:eastAsia="Times New Roman" w:cs="Tahoma"/>
          <w:b/>
          <w:bCs/>
          <w:lang w:eastAsia="sl-SI"/>
        </w:rPr>
      </w:pPr>
      <w:r w:rsidRPr="00845F0A">
        <w:rPr>
          <w:rFonts w:eastAsia="Times New Roman" w:cs="Tahoma"/>
          <w:b/>
          <w:bCs/>
          <w:lang w:eastAsia="sl-SI"/>
        </w:rPr>
        <w:t xml:space="preserve">Koristi </w:t>
      </w:r>
      <w:r>
        <w:rPr>
          <w:rFonts w:eastAsia="Times New Roman" w:cs="Tahoma"/>
          <w:b/>
          <w:bCs/>
          <w:lang w:eastAsia="sl-SI"/>
        </w:rPr>
        <w:t>novega načina za uporabnike</w:t>
      </w:r>
    </w:p>
    <w:p w:rsidR="00301CB1" w:rsidRDefault="00540F28" w:rsidP="008A0ED9">
      <w:pPr>
        <w:spacing w:after="0" w:line="276" w:lineRule="auto"/>
        <w:rPr>
          <w:rFonts w:eastAsia="Times New Roman" w:cs="Tahoma"/>
          <w:bCs/>
          <w:lang w:eastAsia="sl-SI"/>
        </w:rPr>
      </w:pPr>
      <w:r w:rsidRPr="008A0ED9">
        <w:rPr>
          <w:rFonts w:eastAsia="Times New Roman" w:cs="Tahoma"/>
          <w:bCs/>
          <w:lang w:eastAsia="sl-SI"/>
        </w:rPr>
        <w:t>Za uporabnike, ki niso priključeni na javno kanalizacijo</w:t>
      </w:r>
      <w:r w:rsidR="008A0ED9">
        <w:rPr>
          <w:rFonts w:eastAsia="Times New Roman" w:cs="Tahoma"/>
          <w:bCs/>
          <w:lang w:eastAsia="sl-SI"/>
        </w:rPr>
        <w:t xml:space="preserve"> (takih je na območju oskrbe </w:t>
      </w:r>
      <w:r w:rsidR="000C74A3">
        <w:rPr>
          <w:rFonts w:eastAsia="Times New Roman" w:cs="Tahoma"/>
          <w:bCs/>
          <w:lang w:eastAsia="sl-SI"/>
        </w:rPr>
        <w:t xml:space="preserve">JP </w:t>
      </w:r>
      <w:r w:rsidR="008A0ED9">
        <w:rPr>
          <w:rFonts w:eastAsia="Times New Roman" w:cs="Tahoma"/>
          <w:bCs/>
          <w:lang w:eastAsia="sl-SI"/>
        </w:rPr>
        <w:t>VO-K</w:t>
      </w:r>
      <w:r w:rsidR="000C74A3">
        <w:rPr>
          <w:rFonts w:eastAsia="Times New Roman" w:cs="Tahoma"/>
          <w:bCs/>
          <w:lang w:eastAsia="sl-SI"/>
        </w:rPr>
        <w:t>A</w:t>
      </w:r>
      <w:r w:rsidR="008A0ED9">
        <w:rPr>
          <w:rFonts w:eastAsia="Times New Roman" w:cs="Tahoma"/>
          <w:bCs/>
          <w:lang w:eastAsia="sl-SI"/>
        </w:rPr>
        <w:t xml:space="preserve"> cca. 19.000)</w:t>
      </w:r>
      <w:r w:rsidRPr="008A0ED9">
        <w:rPr>
          <w:rFonts w:eastAsia="Times New Roman" w:cs="Tahoma"/>
          <w:bCs/>
          <w:lang w:eastAsia="sl-SI"/>
        </w:rPr>
        <w:t xml:space="preserve"> bo uvedeno sistematično prazn</w:t>
      </w:r>
      <w:r w:rsidR="000C74A3">
        <w:rPr>
          <w:rFonts w:eastAsia="Times New Roman" w:cs="Tahoma"/>
          <w:bCs/>
          <w:lang w:eastAsia="sl-SI"/>
        </w:rPr>
        <w:t>j</w:t>
      </w:r>
      <w:r w:rsidRPr="008A0ED9">
        <w:rPr>
          <w:rFonts w:eastAsia="Times New Roman" w:cs="Tahoma"/>
          <w:bCs/>
          <w:lang w:eastAsia="sl-SI"/>
        </w:rPr>
        <w:t>enje greznic in malih komunalnih čistilnih naprav (MKČN) enkrat na tri leta. Za te uporabnike bo uveden mesečni obračun storitev, to pomeni, da bo razdeljen na 36 obrokov in bo tako mesečno prištet ostalim postavkam na računu. Ob dosedanjem načinu je bilo potrebno celotno storitev praznjenja poravnati v enkratnem znesku</w:t>
      </w:r>
      <w:r w:rsidR="008A0ED9" w:rsidRPr="008A0ED9">
        <w:rPr>
          <w:rFonts w:eastAsia="Times New Roman" w:cs="Tahoma"/>
          <w:bCs/>
          <w:lang w:eastAsia="sl-SI"/>
        </w:rPr>
        <w:t>.</w:t>
      </w:r>
    </w:p>
    <w:p w:rsidR="00845F0A" w:rsidRDefault="00845F0A" w:rsidP="008A0ED9">
      <w:pPr>
        <w:spacing w:after="0" w:line="276" w:lineRule="auto"/>
        <w:rPr>
          <w:rFonts w:eastAsia="Times New Roman" w:cs="Tahoma"/>
          <w:bCs/>
          <w:lang w:eastAsia="sl-SI"/>
        </w:rPr>
      </w:pPr>
    </w:p>
    <w:p w:rsidR="00845F0A" w:rsidRPr="00845F0A" w:rsidRDefault="00845F0A" w:rsidP="008A0ED9">
      <w:pPr>
        <w:spacing w:after="0" w:line="276" w:lineRule="auto"/>
        <w:rPr>
          <w:rFonts w:eastAsia="Times New Roman" w:cs="Tahoma"/>
          <w:b/>
          <w:bCs/>
          <w:lang w:eastAsia="sl-SI"/>
        </w:rPr>
      </w:pPr>
      <w:bookmarkStart w:id="1" w:name="OLE_LINK1"/>
      <w:bookmarkStart w:id="2" w:name="OLE_LINK2"/>
      <w:r w:rsidRPr="00845F0A">
        <w:rPr>
          <w:rFonts w:eastAsia="Times New Roman" w:cs="Tahoma"/>
          <w:b/>
          <w:bCs/>
          <w:lang w:eastAsia="sl-SI"/>
        </w:rPr>
        <w:t xml:space="preserve">Koristi </w:t>
      </w:r>
      <w:r>
        <w:rPr>
          <w:rFonts w:eastAsia="Times New Roman" w:cs="Tahoma"/>
          <w:b/>
          <w:bCs/>
          <w:lang w:eastAsia="sl-SI"/>
        </w:rPr>
        <w:t xml:space="preserve">novega načina </w:t>
      </w:r>
      <w:r w:rsidRPr="00845F0A">
        <w:rPr>
          <w:rFonts w:eastAsia="Times New Roman" w:cs="Tahoma"/>
          <w:b/>
          <w:bCs/>
          <w:lang w:eastAsia="sl-SI"/>
        </w:rPr>
        <w:t>za okolje</w:t>
      </w:r>
    </w:p>
    <w:bookmarkEnd w:id="1"/>
    <w:bookmarkEnd w:id="2"/>
    <w:p w:rsidR="00301CB1" w:rsidRDefault="008A0ED9" w:rsidP="00995BE5">
      <w:pPr>
        <w:spacing w:after="0" w:line="276" w:lineRule="auto"/>
        <w:rPr>
          <w:rFonts w:eastAsia="Times New Roman" w:cs="Tahoma"/>
          <w:bCs/>
          <w:lang w:eastAsia="sl-SI"/>
        </w:rPr>
      </w:pPr>
      <w:r w:rsidRPr="00845F0A">
        <w:rPr>
          <w:rFonts w:eastAsia="Times New Roman" w:cs="Tahoma"/>
          <w:bCs/>
          <w:lang w:eastAsia="sl-SI"/>
        </w:rPr>
        <w:t xml:space="preserve">Omenjena sprememba je dobrodošla tudi s stališča varovanja okolja, saj greznične gošče in blato sodijo na čistilno napravo, kjer se razgradijo in tako ne </w:t>
      </w:r>
      <w:r w:rsidR="00845F0A" w:rsidRPr="00845F0A">
        <w:rPr>
          <w:rFonts w:eastAsia="Times New Roman" w:cs="Tahoma"/>
          <w:bCs/>
          <w:lang w:eastAsia="sl-SI"/>
        </w:rPr>
        <w:t>onesnažujejo</w:t>
      </w:r>
      <w:r w:rsidRPr="00845F0A">
        <w:rPr>
          <w:rFonts w:eastAsia="Times New Roman" w:cs="Tahoma"/>
          <w:bCs/>
          <w:lang w:eastAsia="sl-SI"/>
        </w:rPr>
        <w:t xml:space="preserve"> okolja. Po državni zakonodaji bi gospodinjstvo moralo poskrbeti za redno </w:t>
      </w:r>
      <w:r w:rsidR="00845F0A" w:rsidRPr="00845F0A">
        <w:rPr>
          <w:rFonts w:eastAsia="Times New Roman" w:cs="Tahoma"/>
          <w:bCs/>
          <w:lang w:eastAsia="sl-SI"/>
        </w:rPr>
        <w:t>praznjenje</w:t>
      </w:r>
      <w:r w:rsidRPr="00845F0A">
        <w:rPr>
          <w:rFonts w:eastAsia="Times New Roman" w:cs="Tahoma"/>
          <w:bCs/>
          <w:lang w:eastAsia="sl-SI"/>
        </w:rPr>
        <w:t xml:space="preserve"> in obdelavo gošč na čistilni napravi, izvajalec javne službe pa zagotavljati prevzem grezničnih</w:t>
      </w:r>
      <w:r w:rsidR="00845F0A" w:rsidRPr="00845F0A">
        <w:rPr>
          <w:rFonts w:eastAsia="Times New Roman" w:cs="Tahoma"/>
          <w:bCs/>
          <w:lang w:eastAsia="sl-SI"/>
        </w:rPr>
        <w:t xml:space="preserve"> gošč in blata iz MKČN. Obstoječi način se izvaja po naročilu posamezne stranke. Sprememba pa omogoča sistematični pristop k rednemu praznjenju, ki se bo izvajalo po posameznih naseljih po naprej predvidenem letnem načrtu.</w:t>
      </w:r>
    </w:p>
    <w:p w:rsidR="00F77A0D" w:rsidRDefault="00F77A0D" w:rsidP="00995BE5">
      <w:pPr>
        <w:spacing w:after="0" w:line="276" w:lineRule="auto"/>
        <w:rPr>
          <w:rFonts w:eastAsia="Times New Roman" w:cs="Tahoma"/>
          <w:bCs/>
          <w:lang w:eastAsia="sl-SI"/>
        </w:rPr>
      </w:pPr>
    </w:p>
    <w:p w:rsidR="00F77A0D" w:rsidRDefault="00F77A0D" w:rsidP="00995BE5">
      <w:pPr>
        <w:spacing w:after="0" w:line="276" w:lineRule="auto"/>
        <w:rPr>
          <w:rFonts w:eastAsia="Times New Roman" w:cs="Tahoma"/>
          <w:bCs/>
          <w:lang w:eastAsia="sl-SI"/>
        </w:rPr>
      </w:pPr>
    </w:p>
    <w:p w:rsidR="00F77A0D" w:rsidRPr="0095152A" w:rsidRDefault="00F77A0D" w:rsidP="00995BE5">
      <w:pPr>
        <w:spacing w:after="0" w:line="276" w:lineRule="auto"/>
        <w:rPr>
          <w:rFonts w:eastAsia="Times New Roman" w:cs="Tahoma"/>
          <w:b/>
          <w:bCs/>
          <w:lang w:eastAsia="sl-SI"/>
        </w:rPr>
      </w:pPr>
    </w:p>
    <w:p w:rsidR="005827AE" w:rsidRDefault="005827AE">
      <w:pPr>
        <w:spacing w:after="200" w:line="276" w:lineRule="auto"/>
        <w:jc w:val="left"/>
        <w:rPr>
          <w:rFonts w:eastAsia="Times New Roman" w:cs="Tahoma"/>
          <w:b/>
          <w:bCs/>
          <w:lang w:eastAsia="sl-SI"/>
        </w:rPr>
      </w:pPr>
      <w:r>
        <w:rPr>
          <w:rFonts w:eastAsia="Times New Roman" w:cs="Tahoma"/>
          <w:b/>
          <w:bCs/>
          <w:lang w:eastAsia="sl-SI"/>
        </w:rPr>
        <w:br w:type="page"/>
      </w:r>
    </w:p>
    <w:p w:rsidR="00F77A0D" w:rsidRPr="0095152A" w:rsidRDefault="00F77A0D" w:rsidP="00995BE5">
      <w:pPr>
        <w:spacing w:after="0" w:line="276" w:lineRule="auto"/>
        <w:rPr>
          <w:rFonts w:eastAsia="Times New Roman" w:cs="Tahoma"/>
          <w:b/>
          <w:bCs/>
          <w:lang w:eastAsia="sl-SI"/>
        </w:rPr>
      </w:pPr>
      <w:r w:rsidRPr="0095152A">
        <w:rPr>
          <w:rFonts w:eastAsia="Times New Roman" w:cs="Tahoma"/>
          <w:b/>
          <w:bCs/>
          <w:lang w:eastAsia="sl-SI"/>
        </w:rPr>
        <w:lastRenderedPageBreak/>
        <w:t>PRIMERI IZRAČUNOV OSKRBE PRED IN PO UREDBI</w:t>
      </w:r>
    </w:p>
    <w:p w:rsidR="00F77A0D" w:rsidRDefault="00F77A0D" w:rsidP="00995BE5">
      <w:pPr>
        <w:spacing w:after="0" w:line="276" w:lineRule="auto"/>
        <w:rPr>
          <w:rFonts w:eastAsia="Times New Roman" w:cs="Tahoma"/>
          <w:bCs/>
          <w:lang w:eastAsia="sl-SI"/>
        </w:rPr>
      </w:pPr>
    </w:p>
    <w:p w:rsidR="009C7C6D" w:rsidRDefault="00F77A0D" w:rsidP="00F77A0D">
      <w:pPr>
        <w:spacing w:after="0" w:line="276" w:lineRule="auto"/>
        <w:rPr>
          <w:rFonts w:eastAsia="Times New Roman" w:cs="Tahoma"/>
          <w:bCs/>
          <w:lang w:eastAsia="sl-SI"/>
        </w:rPr>
      </w:pPr>
      <w:r w:rsidRPr="00F77A0D">
        <w:rPr>
          <w:rFonts w:eastAsia="Times New Roman" w:cs="Tahoma"/>
          <w:bCs/>
          <w:u w:val="single"/>
          <w:lang w:eastAsia="sl-SI"/>
        </w:rPr>
        <w:t>Primer 1</w:t>
      </w:r>
      <w:r>
        <w:rPr>
          <w:rFonts w:eastAsia="Times New Roman" w:cs="Tahoma"/>
          <w:bCs/>
          <w:lang w:eastAsia="sl-SI"/>
        </w:rPr>
        <w:t xml:space="preserve"> je izračunan za </w:t>
      </w:r>
      <w:r w:rsidR="00D23B5D" w:rsidRPr="00F77A0D">
        <w:rPr>
          <w:rFonts w:eastAsia="Times New Roman" w:cs="Tahoma"/>
          <w:bCs/>
          <w:lang w:eastAsia="sl-SI"/>
        </w:rPr>
        <w:t>enostanovanjski objekt, ki porabi 13 m³ vode, ima vodomer premera DN 20 mm (faktor 1) ter površino strehe 200 m², ki se odvaja v mešani sistem</w:t>
      </w:r>
      <w:r w:rsidR="0095152A">
        <w:rPr>
          <w:rFonts w:eastAsia="Times New Roman" w:cs="Tahoma"/>
          <w:bCs/>
          <w:lang w:eastAsia="sl-SI"/>
        </w:rPr>
        <w:t>:</w:t>
      </w:r>
    </w:p>
    <w:p w:rsidR="0095152A" w:rsidRDefault="0095152A" w:rsidP="00F77A0D">
      <w:pPr>
        <w:spacing w:after="0" w:line="276" w:lineRule="auto"/>
        <w:rPr>
          <w:rFonts w:eastAsia="Times New Roman" w:cs="Tahoma"/>
          <w:bCs/>
          <w:lang w:eastAsia="sl-SI"/>
        </w:rPr>
      </w:pPr>
    </w:p>
    <w:tbl>
      <w:tblPr>
        <w:tblStyle w:val="Tabelamre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52"/>
        <w:gridCol w:w="2835"/>
        <w:gridCol w:w="2725"/>
      </w:tblGrid>
      <w:tr w:rsidR="0095152A" w:rsidRPr="005827AE" w:rsidTr="005827AE">
        <w:tc>
          <w:tcPr>
            <w:tcW w:w="3652" w:type="dxa"/>
          </w:tcPr>
          <w:p w:rsidR="0095152A" w:rsidRPr="005827AE" w:rsidRDefault="0095152A" w:rsidP="00F77A0D">
            <w:pPr>
              <w:spacing w:after="0" w:line="276" w:lineRule="auto"/>
              <w:rPr>
                <w:rFonts w:eastAsia="Times New Roman" w:cs="Tahoma"/>
                <w:bCs/>
                <w:sz w:val="18"/>
                <w:szCs w:val="18"/>
                <w:lang w:eastAsia="sl-SI"/>
              </w:rPr>
            </w:pPr>
          </w:p>
        </w:tc>
        <w:tc>
          <w:tcPr>
            <w:tcW w:w="2835" w:type="dxa"/>
          </w:tcPr>
          <w:p w:rsidR="0095152A" w:rsidRPr="005827AE" w:rsidRDefault="0095152A" w:rsidP="0095152A">
            <w:pPr>
              <w:spacing w:after="0" w:line="276" w:lineRule="auto"/>
              <w:jc w:val="center"/>
              <w:rPr>
                <w:rFonts w:eastAsia="Times New Roman" w:cs="Tahoma"/>
                <w:b/>
                <w:bCs/>
                <w:sz w:val="18"/>
                <w:szCs w:val="18"/>
                <w:lang w:eastAsia="sl-SI"/>
              </w:rPr>
            </w:pPr>
            <w:r w:rsidRPr="005827AE">
              <w:rPr>
                <w:rFonts w:eastAsia="Times New Roman" w:cs="Tahoma"/>
                <w:b/>
                <w:bCs/>
                <w:sz w:val="18"/>
                <w:szCs w:val="18"/>
                <w:lang w:eastAsia="sl-SI"/>
              </w:rPr>
              <w:t>2012</w:t>
            </w:r>
          </w:p>
        </w:tc>
        <w:tc>
          <w:tcPr>
            <w:tcW w:w="2725" w:type="dxa"/>
          </w:tcPr>
          <w:p w:rsidR="0095152A" w:rsidRPr="005827AE" w:rsidRDefault="0095152A" w:rsidP="00F77A0D">
            <w:pPr>
              <w:spacing w:after="0" w:line="276" w:lineRule="auto"/>
              <w:rPr>
                <w:rFonts w:eastAsia="Times New Roman" w:cs="Tahoma"/>
                <w:b/>
                <w:bCs/>
                <w:sz w:val="18"/>
                <w:szCs w:val="18"/>
                <w:lang w:eastAsia="sl-SI"/>
              </w:rPr>
            </w:pPr>
            <w:r w:rsidRPr="005827AE">
              <w:rPr>
                <w:rFonts w:eastAsia="Times New Roman" w:cs="Tahoma"/>
                <w:b/>
                <w:bCs/>
                <w:sz w:val="18"/>
                <w:szCs w:val="18"/>
                <w:lang w:eastAsia="sl-SI"/>
              </w:rPr>
              <w:t xml:space="preserve">           2014</w:t>
            </w:r>
          </w:p>
        </w:tc>
      </w:tr>
      <w:tr w:rsidR="0095152A" w:rsidRPr="005827AE" w:rsidTr="005827AE">
        <w:tc>
          <w:tcPr>
            <w:tcW w:w="3652" w:type="dxa"/>
          </w:tcPr>
          <w:p w:rsidR="0095152A" w:rsidRPr="005827AE" w:rsidRDefault="0095152A" w:rsidP="000C74A3">
            <w:pPr>
              <w:spacing w:after="0" w:line="276" w:lineRule="auto"/>
              <w:rPr>
                <w:rFonts w:eastAsia="Times New Roman" w:cs="Tahoma"/>
                <w:bCs/>
                <w:sz w:val="18"/>
                <w:szCs w:val="18"/>
                <w:lang w:eastAsia="sl-SI"/>
              </w:rPr>
            </w:pPr>
            <w:r w:rsidRPr="005827AE">
              <w:rPr>
                <w:rFonts w:eastAsia="Times New Roman" w:cs="Tahoma"/>
                <w:bCs/>
                <w:sz w:val="18"/>
                <w:szCs w:val="18"/>
                <w:lang w:eastAsia="sl-SI"/>
              </w:rPr>
              <w:t>strošek za enostanovanjsk</w:t>
            </w:r>
            <w:r w:rsidR="000C74A3" w:rsidRPr="005827AE">
              <w:rPr>
                <w:rFonts w:eastAsia="Times New Roman" w:cs="Tahoma"/>
                <w:bCs/>
                <w:sz w:val="18"/>
                <w:szCs w:val="18"/>
                <w:lang w:eastAsia="sl-SI"/>
              </w:rPr>
              <w:t>i</w:t>
            </w:r>
            <w:r w:rsidRPr="005827AE">
              <w:rPr>
                <w:rFonts w:eastAsia="Times New Roman" w:cs="Tahoma"/>
                <w:bCs/>
                <w:sz w:val="18"/>
                <w:szCs w:val="18"/>
                <w:lang w:eastAsia="sl-SI"/>
              </w:rPr>
              <w:t xml:space="preserve"> </w:t>
            </w:r>
            <w:r w:rsidR="000C74A3" w:rsidRPr="005827AE">
              <w:rPr>
                <w:rFonts w:eastAsia="Times New Roman" w:cs="Tahoma"/>
                <w:bCs/>
                <w:sz w:val="18"/>
                <w:szCs w:val="18"/>
                <w:lang w:eastAsia="sl-SI"/>
              </w:rPr>
              <w:t>objekt</w:t>
            </w:r>
            <w:r w:rsidRPr="005827AE">
              <w:rPr>
                <w:rFonts w:eastAsia="Times New Roman" w:cs="Tahoma"/>
                <w:bCs/>
                <w:sz w:val="18"/>
                <w:szCs w:val="18"/>
                <w:lang w:eastAsia="sl-SI"/>
              </w:rPr>
              <w:t xml:space="preserve"> mesečno v EUR (brez DDV)</w:t>
            </w:r>
          </w:p>
        </w:tc>
        <w:tc>
          <w:tcPr>
            <w:tcW w:w="2835" w:type="dxa"/>
          </w:tcPr>
          <w:p w:rsidR="0095152A" w:rsidRPr="005827AE" w:rsidRDefault="0095152A" w:rsidP="000C74A3">
            <w:pPr>
              <w:spacing w:after="0" w:line="276" w:lineRule="auto"/>
              <w:jc w:val="center"/>
              <w:rPr>
                <w:rFonts w:eastAsia="Times New Roman" w:cs="Tahoma"/>
                <w:bCs/>
                <w:sz w:val="18"/>
                <w:szCs w:val="18"/>
                <w:lang w:eastAsia="sl-SI"/>
              </w:rPr>
            </w:pPr>
            <w:r w:rsidRPr="005827AE">
              <w:rPr>
                <w:rFonts w:eastAsia="Times New Roman" w:cs="Tahoma"/>
                <w:bCs/>
                <w:sz w:val="18"/>
                <w:szCs w:val="18"/>
                <w:lang w:eastAsia="sl-SI"/>
              </w:rPr>
              <w:t>31,21</w:t>
            </w:r>
          </w:p>
        </w:tc>
        <w:tc>
          <w:tcPr>
            <w:tcW w:w="2725" w:type="dxa"/>
          </w:tcPr>
          <w:p w:rsidR="0095152A" w:rsidRPr="005827AE" w:rsidRDefault="0095152A" w:rsidP="000C74A3">
            <w:pPr>
              <w:spacing w:after="0" w:line="276" w:lineRule="auto"/>
              <w:jc w:val="center"/>
              <w:rPr>
                <w:rFonts w:eastAsia="Times New Roman" w:cs="Tahoma"/>
                <w:bCs/>
                <w:sz w:val="18"/>
                <w:szCs w:val="18"/>
                <w:lang w:eastAsia="sl-SI"/>
              </w:rPr>
            </w:pPr>
            <w:r w:rsidRPr="005827AE">
              <w:rPr>
                <w:rFonts w:eastAsia="Times New Roman" w:cs="Tahoma"/>
                <w:bCs/>
                <w:sz w:val="18"/>
                <w:szCs w:val="18"/>
                <w:lang w:eastAsia="sl-SI"/>
              </w:rPr>
              <w:t>23,33</w:t>
            </w:r>
          </w:p>
        </w:tc>
      </w:tr>
    </w:tbl>
    <w:p w:rsidR="0095152A" w:rsidRPr="00F77A0D" w:rsidRDefault="0095152A" w:rsidP="00F77A0D">
      <w:pPr>
        <w:spacing w:after="0" w:line="276" w:lineRule="auto"/>
        <w:rPr>
          <w:rFonts w:eastAsia="Times New Roman" w:cs="Tahoma"/>
          <w:bCs/>
          <w:lang w:eastAsia="sl-SI"/>
        </w:rPr>
      </w:pPr>
    </w:p>
    <w:p w:rsidR="005827AE" w:rsidRDefault="005827AE" w:rsidP="0095152A">
      <w:pPr>
        <w:spacing w:after="0" w:line="276" w:lineRule="auto"/>
        <w:rPr>
          <w:rFonts w:eastAsia="Times New Roman" w:cs="Tahoma"/>
          <w:bCs/>
          <w:u w:val="single"/>
          <w:lang w:eastAsia="sl-SI"/>
        </w:rPr>
      </w:pPr>
    </w:p>
    <w:p w:rsidR="005827AE" w:rsidRDefault="005827AE" w:rsidP="0095152A">
      <w:pPr>
        <w:spacing w:after="0" w:line="276" w:lineRule="auto"/>
        <w:rPr>
          <w:rFonts w:eastAsia="Times New Roman" w:cs="Tahoma"/>
          <w:bCs/>
          <w:u w:val="single"/>
          <w:lang w:eastAsia="sl-SI"/>
        </w:rPr>
      </w:pPr>
    </w:p>
    <w:p w:rsidR="009C7C6D" w:rsidRPr="00F77A0D" w:rsidRDefault="0095152A" w:rsidP="0095152A">
      <w:pPr>
        <w:spacing w:after="0" w:line="276" w:lineRule="auto"/>
        <w:rPr>
          <w:rFonts w:eastAsia="Times New Roman" w:cs="Tahoma"/>
          <w:bCs/>
          <w:lang w:eastAsia="sl-SI"/>
        </w:rPr>
      </w:pPr>
      <w:r w:rsidRPr="0095152A">
        <w:rPr>
          <w:rFonts w:eastAsia="Times New Roman" w:cs="Tahoma"/>
          <w:bCs/>
          <w:u w:val="single"/>
          <w:lang w:eastAsia="sl-SI"/>
        </w:rPr>
        <w:t>Primer 2</w:t>
      </w:r>
      <w:r>
        <w:rPr>
          <w:rFonts w:eastAsia="Times New Roman" w:cs="Tahoma"/>
          <w:bCs/>
          <w:lang w:eastAsia="sl-SI"/>
        </w:rPr>
        <w:t xml:space="preserve"> je izračunan za </w:t>
      </w:r>
      <w:proofErr w:type="spellStart"/>
      <w:r w:rsidR="00D23B5D" w:rsidRPr="00F77A0D">
        <w:rPr>
          <w:rFonts w:eastAsia="Times New Roman" w:cs="Tahoma"/>
          <w:bCs/>
          <w:lang w:eastAsia="sl-SI"/>
        </w:rPr>
        <w:t>večastanovanjski</w:t>
      </w:r>
      <w:proofErr w:type="spellEnd"/>
      <w:r w:rsidR="00D23B5D" w:rsidRPr="00F77A0D">
        <w:rPr>
          <w:rFonts w:eastAsia="Times New Roman" w:cs="Tahoma"/>
          <w:bCs/>
          <w:lang w:eastAsia="sl-SI"/>
        </w:rPr>
        <w:t xml:space="preserve"> objekt z 12 enotami, ki porabi 90 m³ mesečno, površina strehe je 450 m², vodomer </w:t>
      </w:r>
      <w:r w:rsidR="000C74A3">
        <w:rPr>
          <w:rFonts w:eastAsia="Times New Roman" w:cs="Tahoma"/>
          <w:bCs/>
          <w:lang w:eastAsia="sl-SI"/>
        </w:rPr>
        <w:t xml:space="preserve">premera </w:t>
      </w:r>
      <w:r w:rsidR="00D23B5D" w:rsidRPr="00F77A0D">
        <w:rPr>
          <w:rFonts w:eastAsia="Times New Roman" w:cs="Tahoma"/>
          <w:bCs/>
          <w:lang w:eastAsia="sl-SI"/>
        </w:rPr>
        <w:t xml:space="preserve">DN 40 mm (faktor 10) ali pri starejši gradnjah vodomer </w:t>
      </w:r>
      <w:r w:rsidR="000C74A3">
        <w:rPr>
          <w:rFonts w:eastAsia="Times New Roman" w:cs="Tahoma"/>
          <w:bCs/>
          <w:lang w:eastAsia="sl-SI"/>
        </w:rPr>
        <w:t xml:space="preserve">premera </w:t>
      </w:r>
      <w:r w:rsidR="00D23B5D" w:rsidRPr="00F77A0D">
        <w:rPr>
          <w:rFonts w:eastAsia="Times New Roman" w:cs="Tahoma"/>
          <w:bCs/>
          <w:lang w:eastAsia="sl-SI"/>
        </w:rPr>
        <w:t>DN 25 mm (faktor 3)</w:t>
      </w:r>
    </w:p>
    <w:p w:rsidR="00F77A0D" w:rsidRDefault="00F77A0D" w:rsidP="00F77A0D">
      <w:pPr>
        <w:spacing w:after="0" w:line="276" w:lineRule="auto"/>
        <w:rPr>
          <w:rFonts w:eastAsia="Times New Roman" w:cs="Tahoma"/>
          <w:bCs/>
          <w:lang w:eastAsia="sl-SI"/>
        </w:rPr>
      </w:pPr>
    </w:p>
    <w:tbl>
      <w:tblPr>
        <w:tblStyle w:val="Tabelamre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52"/>
        <w:gridCol w:w="2835"/>
        <w:gridCol w:w="2725"/>
      </w:tblGrid>
      <w:tr w:rsidR="0095152A" w:rsidTr="005827AE">
        <w:tc>
          <w:tcPr>
            <w:tcW w:w="3652" w:type="dxa"/>
          </w:tcPr>
          <w:p w:rsidR="0095152A" w:rsidRPr="005827AE" w:rsidRDefault="0095152A" w:rsidP="00F77A0D">
            <w:pPr>
              <w:spacing w:after="0" w:line="276" w:lineRule="auto"/>
              <w:rPr>
                <w:rFonts w:eastAsia="Times New Roman" w:cs="Tahoma"/>
                <w:bCs/>
                <w:sz w:val="16"/>
                <w:szCs w:val="16"/>
                <w:lang w:eastAsia="sl-SI"/>
              </w:rPr>
            </w:pPr>
          </w:p>
        </w:tc>
        <w:tc>
          <w:tcPr>
            <w:tcW w:w="2835" w:type="dxa"/>
          </w:tcPr>
          <w:p w:rsidR="0095152A" w:rsidRPr="005827AE" w:rsidRDefault="0095152A" w:rsidP="005827AE">
            <w:pPr>
              <w:spacing w:after="0" w:line="276" w:lineRule="auto"/>
              <w:jc w:val="center"/>
              <w:rPr>
                <w:rFonts w:eastAsia="Times New Roman" w:cs="Tahoma"/>
                <w:b/>
                <w:bCs/>
                <w:sz w:val="16"/>
                <w:szCs w:val="16"/>
                <w:lang w:eastAsia="sl-SI"/>
              </w:rPr>
            </w:pPr>
            <w:r w:rsidRPr="005827AE">
              <w:rPr>
                <w:rFonts w:eastAsia="Times New Roman" w:cs="Tahoma"/>
                <w:b/>
                <w:bCs/>
                <w:sz w:val="16"/>
                <w:szCs w:val="16"/>
                <w:lang w:eastAsia="sl-SI"/>
              </w:rPr>
              <w:t>2012</w:t>
            </w:r>
          </w:p>
        </w:tc>
        <w:tc>
          <w:tcPr>
            <w:tcW w:w="2725" w:type="dxa"/>
          </w:tcPr>
          <w:p w:rsidR="0095152A" w:rsidRPr="005827AE" w:rsidRDefault="0095152A" w:rsidP="005827AE">
            <w:pPr>
              <w:spacing w:after="0" w:line="276" w:lineRule="auto"/>
              <w:jc w:val="center"/>
              <w:rPr>
                <w:rFonts w:eastAsia="Times New Roman" w:cs="Tahoma"/>
                <w:b/>
                <w:bCs/>
                <w:sz w:val="16"/>
                <w:szCs w:val="16"/>
                <w:lang w:eastAsia="sl-SI"/>
              </w:rPr>
            </w:pPr>
            <w:r w:rsidRPr="005827AE">
              <w:rPr>
                <w:rFonts w:eastAsia="Times New Roman" w:cs="Tahoma"/>
                <w:b/>
                <w:bCs/>
                <w:sz w:val="16"/>
                <w:szCs w:val="16"/>
                <w:lang w:eastAsia="sl-SI"/>
              </w:rPr>
              <w:t>2014</w:t>
            </w:r>
          </w:p>
        </w:tc>
      </w:tr>
      <w:tr w:rsidR="0095152A" w:rsidTr="005827AE">
        <w:tc>
          <w:tcPr>
            <w:tcW w:w="3652" w:type="dxa"/>
          </w:tcPr>
          <w:p w:rsidR="0095152A" w:rsidRPr="005827AE" w:rsidRDefault="0095152A" w:rsidP="00F77A0D">
            <w:pPr>
              <w:spacing w:after="0" w:line="276" w:lineRule="auto"/>
              <w:rPr>
                <w:rFonts w:eastAsia="Times New Roman" w:cs="Tahoma"/>
                <w:bCs/>
                <w:sz w:val="16"/>
                <w:szCs w:val="16"/>
                <w:lang w:eastAsia="sl-SI"/>
              </w:rPr>
            </w:pPr>
            <w:r w:rsidRPr="005827AE">
              <w:rPr>
                <w:rFonts w:eastAsia="Times New Roman" w:cs="Tahoma"/>
                <w:bCs/>
                <w:sz w:val="16"/>
                <w:szCs w:val="16"/>
                <w:lang w:eastAsia="sl-SI"/>
              </w:rPr>
              <w:t>Strošek na enoto v večstanovanjskem objektu mesečno v EUR (brez DDV)</w:t>
            </w:r>
          </w:p>
        </w:tc>
        <w:tc>
          <w:tcPr>
            <w:tcW w:w="2835" w:type="dxa"/>
          </w:tcPr>
          <w:p w:rsidR="0095152A" w:rsidRPr="005827AE" w:rsidRDefault="0095152A" w:rsidP="00F77A0D">
            <w:pPr>
              <w:spacing w:after="0" w:line="276" w:lineRule="auto"/>
              <w:rPr>
                <w:rFonts w:eastAsia="Times New Roman" w:cs="Tahoma"/>
                <w:bCs/>
                <w:sz w:val="16"/>
                <w:szCs w:val="16"/>
                <w:lang w:eastAsia="sl-SI"/>
              </w:rPr>
            </w:pPr>
            <w:r w:rsidRPr="005827AE">
              <w:rPr>
                <w:rFonts w:eastAsia="Times New Roman" w:cs="Tahoma"/>
                <w:bCs/>
                <w:sz w:val="16"/>
                <w:szCs w:val="16"/>
                <w:lang w:eastAsia="sl-SI"/>
              </w:rPr>
              <w:t xml:space="preserve">DN40      13,89 </w:t>
            </w:r>
          </w:p>
          <w:p w:rsidR="0095152A" w:rsidRPr="005827AE" w:rsidRDefault="0095152A" w:rsidP="000C74A3">
            <w:pPr>
              <w:spacing w:after="0" w:line="276" w:lineRule="auto"/>
              <w:rPr>
                <w:rFonts w:eastAsia="Times New Roman" w:cs="Tahoma"/>
                <w:bCs/>
                <w:sz w:val="16"/>
                <w:szCs w:val="16"/>
                <w:lang w:eastAsia="sl-SI"/>
              </w:rPr>
            </w:pPr>
            <w:r w:rsidRPr="005827AE">
              <w:rPr>
                <w:rFonts w:eastAsia="Times New Roman" w:cs="Tahoma"/>
                <w:bCs/>
                <w:sz w:val="16"/>
                <w:szCs w:val="16"/>
                <w:lang w:eastAsia="sl-SI"/>
              </w:rPr>
              <w:t xml:space="preserve">DN25      11,83           </w:t>
            </w:r>
          </w:p>
        </w:tc>
        <w:tc>
          <w:tcPr>
            <w:tcW w:w="2725" w:type="dxa"/>
          </w:tcPr>
          <w:p w:rsidR="0095152A" w:rsidRPr="005827AE" w:rsidRDefault="0095152A" w:rsidP="00F77A0D">
            <w:pPr>
              <w:spacing w:after="0" w:line="276" w:lineRule="auto"/>
              <w:rPr>
                <w:rFonts w:eastAsia="Times New Roman" w:cs="Tahoma"/>
                <w:bCs/>
                <w:sz w:val="16"/>
                <w:szCs w:val="16"/>
                <w:lang w:eastAsia="sl-SI"/>
              </w:rPr>
            </w:pPr>
            <w:r w:rsidRPr="005827AE">
              <w:rPr>
                <w:rFonts w:eastAsia="Times New Roman" w:cs="Tahoma"/>
                <w:bCs/>
                <w:sz w:val="16"/>
                <w:szCs w:val="16"/>
                <w:lang w:eastAsia="sl-SI"/>
              </w:rPr>
              <w:t xml:space="preserve">DN40       14,95 </w:t>
            </w:r>
          </w:p>
          <w:p w:rsidR="004E5D5F" w:rsidRPr="005827AE" w:rsidRDefault="004E5D5F" w:rsidP="000C74A3">
            <w:pPr>
              <w:spacing w:after="0" w:line="276" w:lineRule="auto"/>
              <w:rPr>
                <w:rFonts w:eastAsia="Times New Roman" w:cs="Tahoma"/>
                <w:bCs/>
                <w:sz w:val="16"/>
                <w:szCs w:val="16"/>
                <w:lang w:eastAsia="sl-SI"/>
              </w:rPr>
            </w:pPr>
            <w:r w:rsidRPr="005827AE">
              <w:rPr>
                <w:rFonts w:eastAsia="Times New Roman" w:cs="Tahoma"/>
                <w:bCs/>
                <w:sz w:val="16"/>
                <w:szCs w:val="16"/>
                <w:lang w:eastAsia="sl-SI"/>
              </w:rPr>
              <w:t xml:space="preserve">DN25       14,95 </w:t>
            </w:r>
          </w:p>
        </w:tc>
      </w:tr>
    </w:tbl>
    <w:p w:rsidR="0095152A" w:rsidRDefault="0095152A" w:rsidP="00F77A0D">
      <w:pPr>
        <w:spacing w:after="0" w:line="276" w:lineRule="auto"/>
        <w:rPr>
          <w:rFonts w:eastAsia="Times New Roman" w:cs="Tahoma"/>
          <w:bCs/>
          <w:lang w:eastAsia="sl-SI"/>
        </w:rPr>
      </w:pPr>
    </w:p>
    <w:p w:rsidR="004E5D5F" w:rsidRDefault="004E5D5F" w:rsidP="00F77A0D">
      <w:pPr>
        <w:spacing w:after="0" w:line="276" w:lineRule="auto"/>
        <w:rPr>
          <w:rFonts w:eastAsia="Times New Roman" w:cs="Tahoma"/>
          <w:bCs/>
          <w:lang w:eastAsia="sl-SI"/>
        </w:rPr>
      </w:pPr>
      <w:r>
        <w:rPr>
          <w:rFonts w:eastAsia="Times New Roman" w:cs="Tahoma"/>
          <w:bCs/>
          <w:lang w:eastAsia="sl-SI"/>
        </w:rPr>
        <w:t xml:space="preserve">Pri usklajevanju obračuna z Uredbo gre za prerazporeditev elementov, kar posledično pri nekaterih uporabnikih pomeni nižjo ceno storitev, pri drugih pa višjo. Višjo ceno predstavlja predvsem segment uporabnikov, ki živijo v večstanovanjskih stavbah brez lastnega vodomera. Za slednje Uredba predpisuje, da se pri obračunu upošteva, kot da je stanovanje opremljeno z minimalnim možnim vodomerom in se vsem enotam zaračuna </w:t>
      </w:r>
      <w:proofErr w:type="spellStart"/>
      <w:r>
        <w:rPr>
          <w:rFonts w:eastAsia="Times New Roman" w:cs="Tahoma"/>
          <w:bCs/>
          <w:lang w:eastAsia="sl-SI"/>
        </w:rPr>
        <w:t>omrežnina</w:t>
      </w:r>
      <w:proofErr w:type="spellEnd"/>
      <w:r>
        <w:rPr>
          <w:rFonts w:eastAsia="Times New Roman" w:cs="Tahoma"/>
          <w:bCs/>
          <w:lang w:eastAsia="sl-SI"/>
        </w:rPr>
        <w:t xml:space="preserve"> za omenjeni vodomer. Prej se je </w:t>
      </w:r>
      <w:proofErr w:type="spellStart"/>
      <w:r>
        <w:rPr>
          <w:rFonts w:eastAsia="Times New Roman" w:cs="Tahoma"/>
          <w:bCs/>
          <w:lang w:eastAsia="sl-SI"/>
        </w:rPr>
        <w:t>omrežnina</w:t>
      </w:r>
      <w:proofErr w:type="spellEnd"/>
      <w:r>
        <w:rPr>
          <w:rFonts w:eastAsia="Times New Roman" w:cs="Tahoma"/>
          <w:bCs/>
          <w:lang w:eastAsia="sl-SI"/>
        </w:rPr>
        <w:t xml:space="preserve"> obračunala za celoten objekt glede na velikost skupnega vstopnega vodomera in delila na vsa stanovanja v večstanovanjskem objektu.</w:t>
      </w:r>
    </w:p>
    <w:p w:rsidR="004E5D5F" w:rsidRDefault="00B46B8E" w:rsidP="00F77A0D">
      <w:pPr>
        <w:spacing w:after="0" w:line="276" w:lineRule="auto"/>
        <w:rPr>
          <w:rFonts w:eastAsia="Times New Roman" w:cs="Tahoma"/>
          <w:bCs/>
          <w:lang w:eastAsia="sl-SI"/>
        </w:rPr>
      </w:pPr>
      <w:r>
        <w:rPr>
          <w:rFonts w:eastAsia="Times New Roman" w:cs="Tahoma"/>
          <w:bCs/>
          <w:lang w:eastAsia="sl-SI"/>
        </w:rPr>
        <w:t xml:space="preserve">Izhajajoč iz opisanega je Svet ustanoviteljev na seji 14. </w:t>
      </w:r>
      <w:r w:rsidR="000D4801">
        <w:rPr>
          <w:rFonts w:eastAsia="Times New Roman" w:cs="Tahoma"/>
          <w:bCs/>
          <w:lang w:eastAsia="sl-SI"/>
        </w:rPr>
        <w:t>m</w:t>
      </w:r>
      <w:r>
        <w:rPr>
          <w:rFonts w:eastAsia="Times New Roman" w:cs="Tahoma"/>
          <w:bCs/>
          <w:lang w:eastAsia="sl-SI"/>
        </w:rPr>
        <w:t>arca 2014 sprejel sklep, da se vladi predlaga korekcijski faktor.</w:t>
      </w:r>
    </w:p>
    <w:p w:rsidR="00F77A0D" w:rsidRDefault="00F77A0D" w:rsidP="00995BE5">
      <w:pPr>
        <w:spacing w:after="0" w:line="276" w:lineRule="auto"/>
        <w:rPr>
          <w:rFonts w:eastAsia="Times New Roman" w:cs="Tahoma"/>
          <w:bCs/>
          <w:lang w:eastAsia="sl-SI"/>
        </w:rPr>
      </w:pPr>
      <w:r>
        <w:rPr>
          <w:rFonts w:eastAsia="Times New Roman" w:cs="Tahoma"/>
          <w:bCs/>
          <w:lang w:eastAsia="sl-SI"/>
        </w:rPr>
        <w:t>-----------------------------------------------------------------------------------------------------------------</w:t>
      </w:r>
    </w:p>
    <w:p w:rsidR="00F77A0D" w:rsidRDefault="00F77A0D" w:rsidP="00995BE5">
      <w:pPr>
        <w:spacing w:after="0" w:line="276" w:lineRule="auto"/>
        <w:rPr>
          <w:rFonts w:eastAsia="Times New Roman" w:cs="Tahoma"/>
          <w:bCs/>
          <w:lang w:eastAsia="sl-SI"/>
        </w:rPr>
      </w:pPr>
      <w:r>
        <w:rPr>
          <w:rFonts w:eastAsia="Times New Roman" w:cs="Tahoma"/>
          <w:bCs/>
          <w:lang w:eastAsia="sl-SI"/>
        </w:rPr>
        <w:t xml:space="preserve">Predlog </w:t>
      </w:r>
      <w:r w:rsidR="000C74A3">
        <w:rPr>
          <w:rFonts w:eastAsia="Times New Roman" w:cs="Tahoma"/>
          <w:bCs/>
          <w:lang w:eastAsia="sl-SI"/>
        </w:rPr>
        <w:t>V</w:t>
      </w:r>
      <w:r>
        <w:rPr>
          <w:rFonts w:eastAsia="Times New Roman" w:cs="Tahoma"/>
          <w:bCs/>
          <w:lang w:eastAsia="sl-SI"/>
        </w:rPr>
        <w:t>ladi:</w:t>
      </w:r>
    </w:p>
    <w:p w:rsidR="009C7C6D" w:rsidRDefault="00D23B5D" w:rsidP="00F77A0D">
      <w:pPr>
        <w:numPr>
          <w:ilvl w:val="1"/>
          <w:numId w:val="9"/>
        </w:numPr>
        <w:spacing w:after="0" w:line="276" w:lineRule="auto"/>
        <w:rPr>
          <w:rFonts w:eastAsia="Times New Roman" w:cs="Tahoma"/>
          <w:bCs/>
          <w:lang w:eastAsia="sl-SI"/>
        </w:rPr>
      </w:pPr>
      <w:r w:rsidRPr="00F77A0D">
        <w:rPr>
          <w:rFonts w:eastAsia="Times New Roman" w:cs="Tahoma"/>
          <w:bCs/>
          <w:lang w:eastAsia="sl-SI"/>
        </w:rPr>
        <w:t xml:space="preserve">zaračunavanje </w:t>
      </w:r>
      <w:proofErr w:type="spellStart"/>
      <w:r w:rsidRPr="00F77A0D">
        <w:rPr>
          <w:rFonts w:eastAsia="Times New Roman" w:cs="Tahoma"/>
          <w:bCs/>
          <w:lang w:eastAsia="sl-SI"/>
        </w:rPr>
        <w:t>omrežnine</w:t>
      </w:r>
      <w:proofErr w:type="spellEnd"/>
      <w:r w:rsidRPr="00F77A0D">
        <w:rPr>
          <w:rFonts w:eastAsia="Times New Roman" w:cs="Tahoma"/>
          <w:bCs/>
          <w:lang w:eastAsia="sl-SI"/>
        </w:rPr>
        <w:t xml:space="preserve"> v večsta</w:t>
      </w:r>
      <w:r w:rsidR="00B46B8E">
        <w:rPr>
          <w:rFonts w:eastAsia="Times New Roman" w:cs="Tahoma"/>
          <w:bCs/>
          <w:lang w:eastAsia="sl-SI"/>
        </w:rPr>
        <w:t>novanjskih objektih</w:t>
      </w:r>
      <w:r w:rsidRPr="00F77A0D">
        <w:rPr>
          <w:rFonts w:eastAsia="Times New Roman" w:cs="Tahoma"/>
          <w:bCs/>
          <w:lang w:eastAsia="sl-SI"/>
        </w:rPr>
        <w:t xml:space="preserve"> se korigira tako, da se posamezni enoti zaračuna le 50 % </w:t>
      </w:r>
      <w:proofErr w:type="spellStart"/>
      <w:r w:rsidRPr="00F77A0D">
        <w:rPr>
          <w:rFonts w:eastAsia="Times New Roman" w:cs="Tahoma"/>
          <w:bCs/>
          <w:lang w:eastAsia="sl-SI"/>
        </w:rPr>
        <w:t>omrežnine</w:t>
      </w:r>
      <w:proofErr w:type="spellEnd"/>
    </w:p>
    <w:p w:rsidR="00F77A0D" w:rsidRPr="00F77A0D" w:rsidRDefault="00F77A0D" w:rsidP="00F77A0D">
      <w:pPr>
        <w:spacing w:after="0" w:line="276" w:lineRule="auto"/>
        <w:rPr>
          <w:rFonts w:eastAsia="Times New Roman" w:cs="Tahoma"/>
          <w:bCs/>
          <w:lang w:eastAsia="sl-SI"/>
        </w:rPr>
      </w:pPr>
      <w:r>
        <w:rPr>
          <w:rFonts w:eastAsia="Times New Roman" w:cs="Tahoma"/>
          <w:bCs/>
          <w:lang w:eastAsia="sl-SI"/>
        </w:rPr>
        <w:t>-----------------------------------------------------------------------------------------------------------------</w:t>
      </w:r>
    </w:p>
    <w:p w:rsidR="000D4801" w:rsidRDefault="000D4801" w:rsidP="00396B50">
      <w:pPr>
        <w:spacing w:after="0"/>
        <w:rPr>
          <w:rFonts w:eastAsia="Times New Roman" w:cs="Tahoma"/>
          <w:bCs/>
          <w:lang w:eastAsia="sl-SI"/>
        </w:rPr>
      </w:pPr>
    </w:p>
    <w:p w:rsidR="005827AE" w:rsidRDefault="005827AE">
      <w:pPr>
        <w:spacing w:after="200" w:line="276" w:lineRule="auto"/>
        <w:jc w:val="left"/>
        <w:rPr>
          <w:rFonts w:eastAsia="Times New Roman" w:cs="Tahoma"/>
          <w:bCs/>
          <w:i/>
          <w:lang w:eastAsia="sl-SI"/>
        </w:rPr>
      </w:pPr>
      <w:r>
        <w:rPr>
          <w:rFonts w:eastAsia="Times New Roman" w:cs="Tahoma"/>
          <w:bCs/>
          <w:i/>
          <w:lang w:eastAsia="sl-SI"/>
        </w:rPr>
        <w:br w:type="page"/>
      </w:r>
    </w:p>
    <w:p w:rsidR="00B46B8E" w:rsidRPr="000D4801" w:rsidRDefault="00B46B8E" w:rsidP="00396B50">
      <w:pPr>
        <w:spacing w:after="0"/>
        <w:rPr>
          <w:rFonts w:eastAsia="Times New Roman" w:cs="Tahoma"/>
          <w:bCs/>
          <w:i/>
          <w:lang w:eastAsia="sl-SI"/>
        </w:rPr>
      </w:pPr>
      <w:r w:rsidRPr="000D4801">
        <w:rPr>
          <w:rFonts w:eastAsia="Times New Roman" w:cs="Tahoma"/>
          <w:bCs/>
          <w:i/>
          <w:lang w:eastAsia="sl-SI"/>
        </w:rPr>
        <w:lastRenderedPageBreak/>
        <w:t>Cene po elaboratu iz marca 2014:</w:t>
      </w:r>
    </w:p>
    <w:p w:rsidR="00B46B8E" w:rsidRPr="000D4801" w:rsidRDefault="00B46B8E" w:rsidP="00396B50">
      <w:pPr>
        <w:spacing w:after="0"/>
        <w:rPr>
          <w:rFonts w:eastAsia="Times New Roman" w:cs="Tahoma"/>
          <w:bCs/>
          <w:i/>
          <w:lang w:eastAsia="sl-SI"/>
        </w:rPr>
      </w:pPr>
    </w:p>
    <w:p w:rsidR="00396B50" w:rsidRPr="00B46B8E" w:rsidRDefault="00396B50" w:rsidP="00396B50">
      <w:pPr>
        <w:spacing w:after="0"/>
        <w:rPr>
          <w:rFonts w:eastAsia="Times New Roman" w:cs="Tahoma"/>
          <w:bCs/>
          <w:lang w:eastAsia="sl-SI"/>
        </w:rPr>
      </w:pPr>
      <w:r w:rsidRPr="00B46B8E">
        <w:rPr>
          <w:rFonts w:eastAsia="Times New Roman" w:cs="Tahoma"/>
          <w:bCs/>
          <w:lang w:eastAsia="sl-SI"/>
        </w:rPr>
        <w:t xml:space="preserve">Predlagana predračunska cena </w:t>
      </w:r>
    </w:p>
    <w:p w:rsidR="00396B50" w:rsidRPr="00B46B8E" w:rsidRDefault="00396B50" w:rsidP="00396B50">
      <w:pPr>
        <w:spacing w:after="0"/>
        <w:rPr>
          <w:rFonts w:eastAsia="Times New Roman" w:cs="Tahoma"/>
          <w:bCs/>
          <w:u w:val="single"/>
          <w:lang w:eastAsia="sl-SI"/>
        </w:rPr>
      </w:pPr>
      <w:r w:rsidRPr="00B46B8E">
        <w:rPr>
          <w:rFonts w:eastAsia="Times New Roman" w:cs="Tahoma"/>
          <w:bCs/>
          <w:u w:val="single"/>
          <w:lang w:eastAsia="sl-SI"/>
        </w:rPr>
        <w:t>1. GJS oskrbe s pitno vodo,</w:t>
      </w:r>
      <w:r w:rsidRPr="00B46B8E">
        <w:rPr>
          <w:rFonts w:cs="Tahoma"/>
          <w:u w:val="single"/>
        </w:rPr>
        <w:t xml:space="preserve"> </w:t>
      </w:r>
      <w:r w:rsidRPr="00B46B8E">
        <w:rPr>
          <w:rFonts w:eastAsia="Times New Roman" w:cs="Tahoma"/>
          <w:bCs/>
          <w:u w:val="single"/>
          <w:lang w:eastAsia="sl-SI"/>
        </w:rPr>
        <w:t xml:space="preserve">ki vključuje: </w:t>
      </w:r>
    </w:p>
    <w:p w:rsidR="00396B50" w:rsidRPr="00B46B8E" w:rsidRDefault="00396B50" w:rsidP="00396B50">
      <w:pPr>
        <w:spacing w:after="0"/>
        <w:rPr>
          <w:rFonts w:eastAsia="Times New Roman" w:cs="Tahoma"/>
          <w:bCs/>
          <w:lang w:eastAsia="sl-SI"/>
        </w:rPr>
      </w:pPr>
      <w:r w:rsidRPr="00B46B8E">
        <w:rPr>
          <w:rFonts w:eastAsia="Times New Roman" w:cs="Tahoma"/>
          <w:bCs/>
          <w:lang w:eastAsia="sl-SI"/>
        </w:rPr>
        <w:t>vodarina:  0,5469 EUR/m</w:t>
      </w:r>
      <w:r w:rsidRPr="00B46B8E">
        <w:rPr>
          <w:rFonts w:eastAsia="Times New Roman" w:cs="Tahoma"/>
          <w:bCs/>
          <w:vertAlign w:val="superscript"/>
          <w:lang w:eastAsia="sl-SI"/>
        </w:rPr>
        <w:t>3</w:t>
      </w:r>
      <w:r w:rsidRPr="00B46B8E">
        <w:rPr>
          <w:rFonts w:eastAsia="Times New Roman" w:cs="Tahoma"/>
          <w:bCs/>
          <w:lang w:eastAsia="sl-SI"/>
        </w:rPr>
        <w:t>.</w:t>
      </w:r>
    </w:p>
    <w:p w:rsidR="00396B50" w:rsidRPr="00B46B8E" w:rsidRDefault="00396B50" w:rsidP="00396B50">
      <w:pPr>
        <w:spacing w:after="0"/>
        <w:rPr>
          <w:rFonts w:eastAsia="Times New Roman" w:cs="Tahoma"/>
          <w:bCs/>
          <w:lang w:eastAsia="sl-SI"/>
        </w:rPr>
      </w:pPr>
      <w:proofErr w:type="spellStart"/>
      <w:r w:rsidRPr="00B46B8E">
        <w:rPr>
          <w:rFonts w:eastAsia="Times New Roman" w:cs="Tahoma"/>
          <w:bCs/>
          <w:lang w:eastAsia="sl-SI"/>
        </w:rPr>
        <w:t>omrežnina</w:t>
      </w:r>
      <w:proofErr w:type="spellEnd"/>
      <w:r w:rsidRPr="00B46B8E">
        <w:rPr>
          <w:rFonts w:eastAsia="Times New Roman" w:cs="Tahoma"/>
          <w:bCs/>
          <w:lang w:eastAsia="sl-SI"/>
        </w:rPr>
        <w:t xml:space="preserve">:  2,8457 EUR/enoto na mesec  </w:t>
      </w:r>
    </w:p>
    <w:p w:rsidR="00396B50" w:rsidRPr="00B46B8E" w:rsidRDefault="00396B50" w:rsidP="00396B50"/>
    <w:p w:rsidR="00396B50" w:rsidRPr="00B46B8E" w:rsidRDefault="00396B50" w:rsidP="00396B50">
      <w:pPr>
        <w:rPr>
          <w:u w:val="single"/>
        </w:rPr>
      </w:pPr>
      <w:r w:rsidRPr="00B46B8E">
        <w:rPr>
          <w:u w:val="single"/>
        </w:rPr>
        <w:t>2. GJS odvajanja in čiščenja odpadne vode</w:t>
      </w:r>
    </w:p>
    <w:p w:rsidR="00396B50" w:rsidRPr="00B46B8E" w:rsidRDefault="00396B50" w:rsidP="00396B50">
      <w:pPr>
        <w:pStyle w:val="Default"/>
        <w:rPr>
          <w:rFonts w:ascii="Tahoma" w:hAnsi="Tahoma" w:cs="Tahoma"/>
          <w:sz w:val="22"/>
          <w:szCs w:val="22"/>
          <w:u w:val="single"/>
        </w:rPr>
      </w:pPr>
      <w:r w:rsidRPr="00B46B8E">
        <w:rPr>
          <w:rFonts w:ascii="Tahoma" w:hAnsi="Tahoma" w:cs="Tahoma"/>
          <w:sz w:val="22"/>
          <w:szCs w:val="22"/>
          <w:u w:val="single"/>
        </w:rPr>
        <w:t>2.1. odvajanje komunalne odpadne vode in padavinske odpadne vode z javnih površin, ki vključuje:</w:t>
      </w:r>
    </w:p>
    <w:p w:rsidR="00396B50" w:rsidRPr="00B46B8E" w:rsidRDefault="00396B50" w:rsidP="00396B50">
      <w:pPr>
        <w:pStyle w:val="Default"/>
        <w:rPr>
          <w:rFonts w:ascii="Tahoma" w:hAnsi="Tahoma" w:cs="Tahoma"/>
          <w:sz w:val="22"/>
          <w:szCs w:val="22"/>
          <w:u w:val="single"/>
        </w:rPr>
      </w:pPr>
      <w:r w:rsidRPr="00B46B8E">
        <w:rPr>
          <w:rFonts w:ascii="Tahoma" w:hAnsi="Tahoma" w:cs="Tahoma"/>
          <w:sz w:val="22"/>
          <w:szCs w:val="22"/>
        </w:rPr>
        <w:t>cena storitve: 0,1901 EUR/m</w:t>
      </w:r>
      <w:r w:rsidRPr="00B46B8E">
        <w:rPr>
          <w:rFonts w:ascii="Tahoma" w:hAnsi="Tahoma" w:cs="Tahoma"/>
          <w:sz w:val="22"/>
          <w:szCs w:val="22"/>
          <w:vertAlign w:val="superscript"/>
        </w:rPr>
        <w:t>3</w:t>
      </w:r>
    </w:p>
    <w:p w:rsidR="00396B50" w:rsidRPr="00B46B8E" w:rsidRDefault="00396B50" w:rsidP="00396B50">
      <w:pPr>
        <w:pStyle w:val="Default"/>
        <w:rPr>
          <w:rFonts w:ascii="Tahoma" w:hAnsi="Tahoma" w:cs="Tahoma"/>
          <w:sz w:val="22"/>
          <w:szCs w:val="22"/>
        </w:rPr>
      </w:pPr>
      <w:proofErr w:type="spellStart"/>
      <w:r w:rsidRPr="00B46B8E">
        <w:rPr>
          <w:rFonts w:ascii="Tahoma" w:hAnsi="Tahoma" w:cs="Tahoma"/>
          <w:sz w:val="22"/>
          <w:szCs w:val="22"/>
        </w:rPr>
        <w:t>omrežnina</w:t>
      </w:r>
      <w:proofErr w:type="spellEnd"/>
      <w:r w:rsidRPr="00B46B8E">
        <w:rPr>
          <w:rFonts w:ascii="Tahoma" w:hAnsi="Tahoma" w:cs="Tahoma"/>
          <w:sz w:val="22"/>
          <w:szCs w:val="22"/>
        </w:rPr>
        <w:t>: 1,7094 EUR/enoto na mesec</w:t>
      </w:r>
    </w:p>
    <w:p w:rsidR="00396B50" w:rsidRPr="00B46B8E" w:rsidRDefault="00396B50" w:rsidP="00396B50">
      <w:pPr>
        <w:pStyle w:val="Default"/>
        <w:rPr>
          <w:rFonts w:ascii="Tahoma" w:hAnsi="Tahoma" w:cs="Tahoma"/>
          <w:sz w:val="22"/>
          <w:szCs w:val="22"/>
        </w:rPr>
      </w:pPr>
    </w:p>
    <w:p w:rsidR="00396B50" w:rsidRPr="00B46B8E" w:rsidRDefault="00396B50" w:rsidP="00396B50">
      <w:pPr>
        <w:pStyle w:val="Default"/>
        <w:rPr>
          <w:rFonts w:ascii="Tahoma" w:hAnsi="Tahoma" w:cs="Tahoma"/>
          <w:sz w:val="22"/>
          <w:szCs w:val="22"/>
          <w:u w:val="single"/>
        </w:rPr>
      </w:pPr>
      <w:r w:rsidRPr="00B46B8E">
        <w:rPr>
          <w:rFonts w:ascii="Tahoma" w:hAnsi="Tahoma" w:cs="Tahoma"/>
          <w:sz w:val="22"/>
          <w:szCs w:val="22"/>
          <w:u w:val="single"/>
        </w:rPr>
        <w:t xml:space="preserve">2.2. odvajanje padavinske odpadne vode s streh, ki vključuje: </w:t>
      </w:r>
    </w:p>
    <w:p w:rsidR="00396B50" w:rsidRPr="00B46B8E" w:rsidRDefault="00396B50" w:rsidP="00396B50">
      <w:pPr>
        <w:pStyle w:val="Default"/>
        <w:rPr>
          <w:rFonts w:ascii="Tahoma" w:hAnsi="Tahoma" w:cs="Tahoma"/>
          <w:sz w:val="22"/>
          <w:szCs w:val="22"/>
          <w:u w:val="single"/>
        </w:rPr>
      </w:pPr>
      <w:r w:rsidRPr="00B46B8E">
        <w:rPr>
          <w:rFonts w:ascii="Tahoma" w:hAnsi="Tahoma" w:cs="Tahoma"/>
          <w:sz w:val="22"/>
          <w:szCs w:val="22"/>
        </w:rPr>
        <w:t>cena storitve: 0,0982 EUR/m</w:t>
      </w:r>
      <w:r w:rsidRPr="00B46B8E">
        <w:rPr>
          <w:rFonts w:ascii="Tahoma" w:hAnsi="Tahoma" w:cs="Tahoma"/>
          <w:sz w:val="22"/>
          <w:szCs w:val="22"/>
          <w:vertAlign w:val="superscript"/>
        </w:rPr>
        <w:t>3</w:t>
      </w:r>
    </w:p>
    <w:p w:rsidR="00396B50" w:rsidRPr="00B46B8E" w:rsidRDefault="00396B50" w:rsidP="00396B50">
      <w:pPr>
        <w:pStyle w:val="Default"/>
        <w:rPr>
          <w:rFonts w:ascii="Tahoma" w:hAnsi="Tahoma" w:cs="Tahoma"/>
          <w:sz w:val="22"/>
          <w:szCs w:val="22"/>
        </w:rPr>
      </w:pPr>
      <w:proofErr w:type="spellStart"/>
      <w:r w:rsidRPr="00B46B8E">
        <w:rPr>
          <w:rFonts w:ascii="Tahoma" w:hAnsi="Tahoma" w:cs="Tahoma"/>
          <w:sz w:val="22"/>
          <w:szCs w:val="22"/>
        </w:rPr>
        <w:t>omrežnina</w:t>
      </w:r>
      <w:proofErr w:type="spellEnd"/>
      <w:r w:rsidRPr="00B46B8E">
        <w:rPr>
          <w:rFonts w:ascii="Tahoma" w:hAnsi="Tahoma" w:cs="Tahoma"/>
          <w:sz w:val="22"/>
          <w:szCs w:val="22"/>
        </w:rPr>
        <w:t xml:space="preserve">: 0,3443 EUR/enoto na mesec </w:t>
      </w:r>
    </w:p>
    <w:p w:rsidR="00396B50" w:rsidRPr="00B46B8E" w:rsidRDefault="00396B50" w:rsidP="00396B50">
      <w:pPr>
        <w:autoSpaceDE w:val="0"/>
        <w:autoSpaceDN w:val="0"/>
        <w:adjustRightInd w:val="0"/>
        <w:spacing w:after="0"/>
        <w:jc w:val="left"/>
        <w:rPr>
          <w:rFonts w:cs="Tahoma"/>
          <w:color w:val="000000"/>
        </w:rPr>
      </w:pPr>
    </w:p>
    <w:p w:rsidR="00396B50" w:rsidRPr="000C74A3" w:rsidRDefault="00396B50" w:rsidP="00396B50">
      <w:pPr>
        <w:autoSpaceDE w:val="0"/>
        <w:autoSpaceDN w:val="0"/>
        <w:adjustRightInd w:val="0"/>
        <w:spacing w:after="0"/>
        <w:jc w:val="left"/>
        <w:rPr>
          <w:rFonts w:cs="Tahoma"/>
          <w:color w:val="000000"/>
          <w:u w:val="single"/>
        </w:rPr>
      </w:pPr>
      <w:r w:rsidRPr="000C74A3">
        <w:rPr>
          <w:rFonts w:cs="Tahoma"/>
          <w:color w:val="000000"/>
          <w:u w:val="single"/>
        </w:rPr>
        <w:t>2.3. storitve, povezane z nepretočnimi greznicami, obstoječimi greznicami in malimi komunalnimi čistilnimi napravami, ki vključuje:</w:t>
      </w:r>
    </w:p>
    <w:p w:rsidR="00396B50" w:rsidRPr="00B46B8E" w:rsidRDefault="00396B50" w:rsidP="00396B50">
      <w:pPr>
        <w:autoSpaceDE w:val="0"/>
        <w:autoSpaceDN w:val="0"/>
        <w:adjustRightInd w:val="0"/>
        <w:spacing w:after="0"/>
        <w:jc w:val="left"/>
        <w:rPr>
          <w:rFonts w:cs="Tahoma"/>
          <w:color w:val="000000"/>
        </w:rPr>
      </w:pPr>
      <w:r w:rsidRPr="00B46B8E">
        <w:rPr>
          <w:rFonts w:cs="Tahoma"/>
          <w:color w:val="000000"/>
        </w:rPr>
        <w:t>cena storitve: 0,4560 EUR/m3</w:t>
      </w:r>
    </w:p>
    <w:p w:rsidR="00396B50" w:rsidRPr="00B46B8E" w:rsidRDefault="00396B50" w:rsidP="00396B50">
      <w:pPr>
        <w:autoSpaceDE w:val="0"/>
        <w:autoSpaceDN w:val="0"/>
        <w:adjustRightInd w:val="0"/>
        <w:spacing w:after="0"/>
        <w:jc w:val="left"/>
        <w:rPr>
          <w:rFonts w:cs="Tahoma"/>
          <w:color w:val="000000"/>
        </w:rPr>
      </w:pPr>
      <w:proofErr w:type="spellStart"/>
      <w:r w:rsidRPr="00B46B8E">
        <w:rPr>
          <w:rFonts w:cs="Tahoma"/>
          <w:color w:val="000000"/>
        </w:rPr>
        <w:t>omrežnina</w:t>
      </w:r>
      <w:proofErr w:type="spellEnd"/>
      <w:r w:rsidRPr="00B46B8E">
        <w:rPr>
          <w:rFonts w:cs="Tahoma"/>
          <w:color w:val="000000"/>
        </w:rPr>
        <w:t>:  1,0354 EUR/enoto na mesec</w:t>
      </w:r>
    </w:p>
    <w:p w:rsidR="00396B50" w:rsidRPr="00B46B8E" w:rsidRDefault="00396B50" w:rsidP="00396B50">
      <w:pPr>
        <w:autoSpaceDE w:val="0"/>
        <w:autoSpaceDN w:val="0"/>
        <w:adjustRightInd w:val="0"/>
        <w:spacing w:after="0"/>
        <w:jc w:val="left"/>
        <w:rPr>
          <w:rFonts w:cs="Tahoma"/>
          <w:color w:val="000000"/>
        </w:rPr>
      </w:pPr>
    </w:p>
    <w:p w:rsidR="00396B50" w:rsidRPr="00B46B8E" w:rsidRDefault="00396B50" w:rsidP="00396B50">
      <w:pPr>
        <w:autoSpaceDE w:val="0"/>
        <w:autoSpaceDN w:val="0"/>
        <w:adjustRightInd w:val="0"/>
        <w:spacing w:after="0"/>
        <w:jc w:val="left"/>
        <w:rPr>
          <w:rFonts w:cs="Tahoma"/>
          <w:color w:val="000000"/>
          <w:u w:val="single"/>
        </w:rPr>
      </w:pPr>
      <w:r w:rsidRPr="00B46B8E">
        <w:rPr>
          <w:rFonts w:cs="Tahoma"/>
          <w:color w:val="000000"/>
          <w:u w:val="single"/>
        </w:rPr>
        <w:t>2.4. čiščenje komunalne odpadne vode in padavinske odpadne vode z javnih površin, ki vključuje:</w:t>
      </w:r>
    </w:p>
    <w:p w:rsidR="00396B50" w:rsidRPr="00B46B8E" w:rsidRDefault="00396B50" w:rsidP="00396B50">
      <w:pPr>
        <w:pStyle w:val="Default"/>
        <w:rPr>
          <w:rFonts w:ascii="Tahoma" w:hAnsi="Tahoma" w:cs="Tahoma"/>
          <w:sz w:val="22"/>
          <w:szCs w:val="22"/>
          <w:u w:val="single"/>
        </w:rPr>
      </w:pPr>
      <w:r w:rsidRPr="00B46B8E">
        <w:rPr>
          <w:rFonts w:ascii="Tahoma" w:hAnsi="Tahoma" w:cs="Tahoma"/>
          <w:sz w:val="22"/>
          <w:szCs w:val="22"/>
        </w:rPr>
        <w:t>cena storitve: 0,2838 EUR/m</w:t>
      </w:r>
      <w:r w:rsidRPr="00B46B8E">
        <w:rPr>
          <w:rFonts w:ascii="Tahoma" w:hAnsi="Tahoma" w:cs="Tahoma"/>
          <w:sz w:val="22"/>
          <w:szCs w:val="22"/>
          <w:vertAlign w:val="superscript"/>
        </w:rPr>
        <w:t>3</w:t>
      </w:r>
    </w:p>
    <w:p w:rsidR="00396B50" w:rsidRPr="00B46B8E" w:rsidRDefault="00396B50" w:rsidP="00396B50">
      <w:pPr>
        <w:autoSpaceDE w:val="0"/>
        <w:autoSpaceDN w:val="0"/>
        <w:adjustRightInd w:val="0"/>
        <w:spacing w:after="0"/>
        <w:jc w:val="left"/>
        <w:rPr>
          <w:rFonts w:cs="Tahoma"/>
        </w:rPr>
      </w:pPr>
      <w:proofErr w:type="spellStart"/>
      <w:r w:rsidRPr="00B46B8E">
        <w:rPr>
          <w:rFonts w:cs="Tahoma"/>
          <w:color w:val="000000"/>
        </w:rPr>
        <w:t>omrežnina</w:t>
      </w:r>
      <w:proofErr w:type="spellEnd"/>
      <w:r w:rsidRPr="00B46B8E">
        <w:rPr>
          <w:rFonts w:cs="Tahoma"/>
          <w:color w:val="000000"/>
        </w:rPr>
        <w:t xml:space="preserve">:   </w:t>
      </w:r>
      <w:r w:rsidRPr="00B46B8E">
        <w:rPr>
          <w:rFonts w:cs="Tahoma"/>
        </w:rPr>
        <w:t>1,5862 EUR/enoto na mesec</w:t>
      </w:r>
    </w:p>
    <w:p w:rsidR="000D4801" w:rsidRDefault="000D4801" w:rsidP="00396B50">
      <w:pPr>
        <w:autoSpaceDE w:val="0"/>
        <w:autoSpaceDN w:val="0"/>
        <w:adjustRightInd w:val="0"/>
        <w:spacing w:after="0"/>
        <w:jc w:val="left"/>
        <w:rPr>
          <w:rFonts w:cs="Tahoma"/>
          <w:color w:val="000000"/>
          <w:u w:val="single"/>
        </w:rPr>
      </w:pPr>
    </w:p>
    <w:p w:rsidR="00396B50" w:rsidRPr="00B46B8E" w:rsidRDefault="00396B50" w:rsidP="00396B50">
      <w:pPr>
        <w:autoSpaceDE w:val="0"/>
        <w:autoSpaceDN w:val="0"/>
        <w:adjustRightInd w:val="0"/>
        <w:spacing w:after="0"/>
        <w:jc w:val="left"/>
        <w:rPr>
          <w:rFonts w:cs="Tahoma"/>
          <w:color w:val="000000"/>
          <w:u w:val="single"/>
        </w:rPr>
      </w:pPr>
      <w:r w:rsidRPr="00B46B8E">
        <w:rPr>
          <w:rFonts w:cs="Tahoma"/>
          <w:color w:val="000000"/>
          <w:u w:val="single"/>
        </w:rPr>
        <w:t>2.5. čiščenje padavinske odpadne vode s streh, ki vključuje:</w:t>
      </w:r>
    </w:p>
    <w:p w:rsidR="00396B50" w:rsidRPr="00B46B8E" w:rsidRDefault="00396B50" w:rsidP="00396B50">
      <w:pPr>
        <w:pStyle w:val="Default"/>
        <w:rPr>
          <w:rFonts w:ascii="Tahoma" w:hAnsi="Tahoma" w:cs="Tahoma"/>
          <w:sz w:val="22"/>
          <w:szCs w:val="22"/>
          <w:vertAlign w:val="superscript"/>
        </w:rPr>
      </w:pPr>
      <w:r w:rsidRPr="00B46B8E">
        <w:rPr>
          <w:rFonts w:ascii="Tahoma" w:hAnsi="Tahoma" w:cs="Tahoma"/>
          <w:sz w:val="22"/>
          <w:szCs w:val="22"/>
        </w:rPr>
        <w:t>cena storitve: 0,0441 EUR/m</w:t>
      </w:r>
      <w:r w:rsidRPr="00B46B8E">
        <w:rPr>
          <w:rFonts w:ascii="Tahoma" w:hAnsi="Tahoma" w:cs="Tahoma"/>
          <w:sz w:val="22"/>
          <w:szCs w:val="22"/>
          <w:vertAlign w:val="superscript"/>
        </w:rPr>
        <w:t>3</w:t>
      </w:r>
    </w:p>
    <w:p w:rsidR="00396B50" w:rsidRPr="00B46B8E" w:rsidRDefault="00396B50" w:rsidP="00396B50">
      <w:pPr>
        <w:autoSpaceDE w:val="0"/>
        <w:autoSpaceDN w:val="0"/>
        <w:adjustRightInd w:val="0"/>
        <w:spacing w:after="0"/>
        <w:jc w:val="left"/>
        <w:rPr>
          <w:rFonts w:cs="Tahoma"/>
          <w:color w:val="000000"/>
        </w:rPr>
      </w:pPr>
      <w:proofErr w:type="spellStart"/>
      <w:r w:rsidRPr="00B46B8E">
        <w:rPr>
          <w:rFonts w:cs="Tahoma"/>
          <w:color w:val="000000"/>
        </w:rPr>
        <w:t>omrežnina</w:t>
      </w:r>
      <w:proofErr w:type="spellEnd"/>
      <w:r w:rsidRPr="00B46B8E">
        <w:rPr>
          <w:rFonts w:cs="Tahoma"/>
          <w:color w:val="000000"/>
        </w:rPr>
        <w:t xml:space="preserve">:  </w:t>
      </w:r>
      <w:r w:rsidRPr="00B46B8E">
        <w:rPr>
          <w:rFonts w:cs="Tahoma"/>
        </w:rPr>
        <w:t xml:space="preserve"> 0,1039 EUR/enoto na mesec</w:t>
      </w:r>
    </w:p>
    <w:sectPr w:rsidR="00396B50" w:rsidRPr="00B46B8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B5D" w:rsidRDefault="00D23B5D" w:rsidP="00396B50">
      <w:pPr>
        <w:spacing w:after="0"/>
      </w:pPr>
      <w:r>
        <w:separator/>
      </w:r>
    </w:p>
  </w:endnote>
  <w:endnote w:type="continuationSeparator" w:id="0">
    <w:p w:rsidR="00D23B5D" w:rsidRDefault="00D23B5D" w:rsidP="00396B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Frutige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3" w:rsidRDefault="005827AE" w:rsidP="005827AE">
    <w:pPr>
      <w:pStyle w:val="Noga"/>
      <w:jc w:val="center"/>
    </w:pPr>
    <w:r>
      <w:rPr>
        <w:noProof/>
        <w:lang w:eastAsia="sl-SI"/>
      </w:rPr>
      <w:drawing>
        <wp:inline distT="0" distB="0" distL="0" distR="0" wp14:anchorId="7A55280E" wp14:editId="2FEE9500">
          <wp:extent cx="1428750" cy="713792"/>
          <wp:effectExtent l="0" t="0" r="0" b="0"/>
          <wp:docPr id="41993" name="Picture 15" descr="JP VODOVOD-KANALIZACIJA d.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3" name="Picture 15" descr="JP VODOVOD-KANALIZACIJA d.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973" cy="721897"/>
                  </a:xfrm>
                  <a:prstGeom prst="rect">
                    <a:avLst/>
                  </a:prstGeom>
                  <a:noFill/>
                  <a:ln>
                    <a:noFill/>
                  </a:ln>
                  <a:extLst/>
                </pic:spPr>
              </pic:pic>
            </a:graphicData>
          </a:graphic>
        </wp:inline>
      </w:drawing>
    </w:r>
  </w:p>
  <w:p w:rsidR="000C74A3" w:rsidRDefault="000C74A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B5D" w:rsidRDefault="00D23B5D" w:rsidP="00396B50">
      <w:pPr>
        <w:spacing w:after="0"/>
      </w:pPr>
      <w:r>
        <w:separator/>
      </w:r>
    </w:p>
  </w:footnote>
  <w:footnote w:type="continuationSeparator" w:id="0">
    <w:p w:rsidR="00D23B5D" w:rsidRDefault="00D23B5D" w:rsidP="00396B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B8E" w:rsidRPr="00B46B8E" w:rsidRDefault="00B46B8E">
    <w:pPr>
      <w:pStyle w:val="Glava"/>
      <w:rPr>
        <w:i/>
        <w:sz w:val="20"/>
        <w:szCs w:val="20"/>
      </w:rPr>
    </w:pPr>
    <w:r w:rsidRPr="00B46B8E">
      <w:rPr>
        <w:i/>
        <w:sz w:val="20"/>
        <w:szCs w:val="20"/>
      </w:rPr>
      <w:t>Gradivo za medije, Novinarska konferenca</w:t>
    </w:r>
    <w:r w:rsidR="00913885">
      <w:rPr>
        <w:i/>
        <w:sz w:val="20"/>
        <w:szCs w:val="20"/>
      </w:rPr>
      <w:t>,</w:t>
    </w:r>
    <w:r w:rsidRPr="00B46B8E">
      <w:rPr>
        <w:i/>
        <w:sz w:val="20"/>
        <w:szCs w:val="20"/>
      </w:rPr>
      <w:t xml:space="preserve"> 25. marec 2014</w:t>
    </w:r>
  </w:p>
  <w:p w:rsidR="00B46B8E" w:rsidRDefault="00B46B8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30C"/>
    <w:multiLevelType w:val="hybridMultilevel"/>
    <w:tmpl w:val="FFE813CE"/>
    <w:lvl w:ilvl="0" w:tplc="2FA2ACC8">
      <w:start w:val="1"/>
      <w:numFmt w:val="bullet"/>
      <w:lvlText w:val="•"/>
      <w:lvlJc w:val="left"/>
      <w:pPr>
        <w:tabs>
          <w:tab w:val="num" w:pos="720"/>
        </w:tabs>
        <w:ind w:left="720" w:hanging="360"/>
      </w:pPr>
      <w:rPr>
        <w:rFonts w:ascii="Times New Roman" w:hAnsi="Times New Roman" w:hint="default"/>
      </w:rPr>
    </w:lvl>
    <w:lvl w:ilvl="1" w:tplc="0EBEDD5A" w:tentative="1">
      <w:start w:val="1"/>
      <w:numFmt w:val="bullet"/>
      <w:lvlText w:val="•"/>
      <w:lvlJc w:val="left"/>
      <w:pPr>
        <w:tabs>
          <w:tab w:val="num" w:pos="1440"/>
        </w:tabs>
        <w:ind w:left="1440" w:hanging="360"/>
      </w:pPr>
      <w:rPr>
        <w:rFonts w:ascii="Times New Roman" w:hAnsi="Times New Roman" w:hint="default"/>
      </w:rPr>
    </w:lvl>
    <w:lvl w:ilvl="2" w:tplc="84540236" w:tentative="1">
      <w:start w:val="1"/>
      <w:numFmt w:val="bullet"/>
      <w:lvlText w:val="•"/>
      <w:lvlJc w:val="left"/>
      <w:pPr>
        <w:tabs>
          <w:tab w:val="num" w:pos="2160"/>
        </w:tabs>
        <w:ind w:left="2160" w:hanging="360"/>
      </w:pPr>
      <w:rPr>
        <w:rFonts w:ascii="Times New Roman" w:hAnsi="Times New Roman" w:hint="default"/>
      </w:rPr>
    </w:lvl>
    <w:lvl w:ilvl="3" w:tplc="25E65672" w:tentative="1">
      <w:start w:val="1"/>
      <w:numFmt w:val="bullet"/>
      <w:lvlText w:val="•"/>
      <w:lvlJc w:val="left"/>
      <w:pPr>
        <w:tabs>
          <w:tab w:val="num" w:pos="2880"/>
        </w:tabs>
        <w:ind w:left="2880" w:hanging="360"/>
      </w:pPr>
      <w:rPr>
        <w:rFonts w:ascii="Times New Roman" w:hAnsi="Times New Roman" w:hint="default"/>
      </w:rPr>
    </w:lvl>
    <w:lvl w:ilvl="4" w:tplc="C03414FE" w:tentative="1">
      <w:start w:val="1"/>
      <w:numFmt w:val="bullet"/>
      <w:lvlText w:val="•"/>
      <w:lvlJc w:val="left"/>
      <w:pPr>
        <w:tabs>
          <w:tab w:val="num" w:pos="3600"/>
        </w:tabs>
        <w:ind w:left="3600" w:hanging="360"/>
      </w:pPr>
      <w:rPr>
        <w:rFonts w:ascii="Times New Roman" w:hAnsi="Times New Roman" w:hint="default"/>
      </w:rPr>
    </w:lvl>
    <w:lvl w:ilvl="5" w:tplc="BF92DFF2" w:tentative="1">
      <w:start w:val="1"/>
      <w:numFmt w:val="bullet"/>
      <w:lvlText w:val="•"/>
      <w:lvlJc w:val="left"/>
      <w:pPr>
        <w:tabs>
          <w:tab w:val="num" w:pos="4320"/>
        </w:tabs>
        <w:ind w:left="4320" w:hanging="360"/>
      </w:pPr>
      <w:rPr>
        <w:rFonts w:ascii="Times New Roman" w:hAnsi="Times New Roman" w:hint="default"/>
      </w:rPr>
    </w:lvl>
    <w:lvl w:ilvl="6" w:tplc="FB404F10" w:tentative="1">
      <w:start w:val="1"/>
      <w:numFmt w:val="bullet"/>
      <w:lvlText w:val="•"/>
      <w:lvlJc w:val="left"/>
      <w:pPr>
        <w:tabs>
          <w:tab w:val="num" w:pos="5040"/>
        </w:tabs>
        <w:ind w:left="5040" w:hanging="360"/>
      </w:pPr>
      <w:rPr>
        <w:rFonts w:ascii="Times New Roman" w:hAnsi="Times New Roman" w:hint="default"/>
      </w:rPr>
    </w:lvl>
    <w:lvl w:ilvl="7" w:tplc="74E04372" w:tentative="1">
      <w:start w:val="1"/>
      <w:numFmt w:val="bullet"/>
      <w:lvlText w:val="•"/>
      <w:lvlJc w:val="left"/>
      <w:pPr>
        <w:tabs>
          <w:tab w:val="num" w:pos="5760"/>
        </w:tabs>
        <w:ind w:left="5760" w:hanging="360"/>
      </w:pPr>
      <w:rPr>
        <w:rFonts w:ascii="Times New Roman" w:hAnsi="Times New Roman" w:hint="default"/>
      </w:rPr>
    </w:lvl>
    <w:lvl w:ilvl="8" w:tplc="F0F6CAE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973EA4"/>
    <w:multiLevelType w:val="hybridMultilevel"/>
    <w:tmpl w:val="C046E9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58473EF"/>
    <w:multiLevelType w:val="hybridMultilevel"/>
    <w:tmpl w:val="85D00438"/>
    <w:lvl w:ilvl="0" w:tplc="2CAE89C8">
      <w:start w:val="1"/>
      <w:numFmt w:val="decimal"/>
      <w:lvlText w:val="%1."/>
      <w:lvlJc w:val="left"/>
      <w:pPr>
        <w:tabs>
          <w:tab w:val="num" w:pos="720"/>
        </w:tabs>
        <w:ind w:left="720" w:hanging="360"/>
      </w:pPr>
      <w:rPr>
        <w:rFonts w:ascii="Tahoma" w:eastAsia="Times New Roman" w:hAnsi="Tahoma" w:cs="Tahoma"/>
      </w:rPr>
    </w:lvl>
    <w:lvl w:ilvl="1" w:tplc="016AA1CA" w:tentative="1">
      <w:start w:val="1"/>
      <w:numFmt w:val="bullet"/>
      <w:lvlText w:val="•"/>
      <w:lvlJc w:val="left"/>
      <w:pPr>
        <w:tabs>
          <w:tab w:val="num" w:pos="1440"/>
        </w:tabs>
        <w:ind w:left="1440" w:hanging="360"/>
      </w:pPr>
      <w:rPr>
        <w:rFonts w:ascii="Times New Roman" w:hAnsi="Times New Roman" w:hint="default"/>
      </w:rPr>
    </w:lvl>
    <w:lvl w:ilvl="2" w:tplc="4A369134" w:tentative="1">
      <w:start w:val="1"/>
      <w:numFmt w:val="bullet"/>
      <w:lvlText w:val="•"/>
      <w:lvlJc w:val="left"/>
      <w:pPr>
        <w:tabs>
          <w:tab w:val="num" w:pos="2160"/>
        </w:tabs>
        <w:ind w:left="2160" w:hanging="360"/>
      </w:pPr>
      <w:rPr>
        <w:rFonts w:ascii="Times New Roman" w:hAnsi="Times New Roman" w:hint="default"/>
      </w:rPr>
    </w:lvl>
    <w:lvl w:ilvl="3" w:tplc="1D6E7578" w:tentative="1">
      <w:start w:val="1"/>
      <w:numFmt w:val="bullet"/>
      <w:lvlText w:val="•"/>
      <w:lvlJc w:val="left"/>
      <w:pPr>
        <w:tabs>
          <w:tab w:val="num" w:pos="2880"/>
        </w:tabs>
        <w:ind w:left="2880" w:hanging="360"/>
      </w:pPr>
      <w:rPr>
        <w:rFonts w:ascii="Times New Roman" w:hAnsi="Times New Roman" w:hint="default"/>
      </w:rPr>
    </w:lvl>
    <w:lvl w:ilvl="4" w:tplc="22103E26" w:tentative="1">
      <w:start w:val="1"/>
      <w:numFmt w:val="bullet"/>
      <w:lvlText w:val="•"/>
      <w:lvlJc w:val="left"/>
      <w:pPr>
        <w:tabs>
          <w:tab w:val="num" w:pos="3600"/>
        </w:tabs>
        <w:ind w:left="3600" w:hanging="360"/>
      </w:pPr>
      <w:rPr>
        <w:rFonts w:ascii="Times New Roman" w:hAnsi="Times New Roman" w:hint="default"/>
      </w:rPr>
    </w:lvl>
    <w:lvl w:ilvl="5" w:tplc="8E7A83D8" w:tentative="1">
      <w:start w:val="1"/>
      <w:numFmt w:val="bullet"/>
      <w:lvlText w:val="•"/>
      <w:lvlJc w:val="left"/>
      <w:pPr>
        <w:tabs>
          <w:tab w:val="num" w:pos="4320"/>
        </w:tabs>
        <w:ind w:left="4320" w:hanging="360"/>
      </w:pPr>
      <w:rPr>
        <w:rFonts w:ascii="Times New Roman" w:hAnsi="Times New Roman" w:hint="default"/>
      </w:rPr>
    </w:lvl>
    <w:lvl w:ilvl="6" w:tplc="5FE0A3EC" w:tentative="1">
      <w:start w:val="1"/>
      <w:numFmt w:val="bullet"/>
      <w:lvlText w:val="•"/>
      <w:lvlJc w:val="left"/>
      <w:pPr>
        <w:tabs>
          <w:tab w:val="num" w:pos="5040"/>
        </w:tabs>
        <w:ind w:left="5040" w:hanging="360"/>
      </w:pPr>
      <w:rPr>
        <w:rFonts w:ascii="Times New Roman" w:hAnsi="Times New Roman" w:hint="default"/>
      </w:rPr>
    </w:lvl>
    <w:lvl w:ilvl="7" w:tplc="1C508456" w:tentative="1">
      <w:start w:val="1"/>
      <w:numFmt w:val="bullet"/>
      <w:lvlText w:val="•"/>
      <w:lvlJc w:val="left"/>
      <w:pPr>
        <w:tabs>
          <w:tab w:val="num" w:pos="5760"/>
        </w:tabs>
        <w:ind w:left="5760" w:hanging="360"/>
      </w:pPr>
      <w:rPr>
        <w:rFonts w:ascii="Times New Roman" w:hAnsi="Times New Roman" w:hint="default"/>
      </w:rPr>
    </w:lvl>
    <w:lvl w:ilvl="8" w:tplc="6360CA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65B38A8"/>
    <w:multiLevelType w:val="hybridMultilevel"/>
    <w:tmpl w:val="D34C9FCA"/>
    <w:lvl w:ilvl="0" w:tplc="4CEA3EBA">
      <w:numFmt w:val="bullet"/>
      <w:lvlText w:val="-"/>
      <w:lvlJc w:val="left"/>
      <w:pPr>
        <w:ind w:left="720" w:hanging="360"/>
      </w:pPr>
      <w:rPr>
        <w:rFonts w:ascii="Tahoma" w:eastAsiaTheme="minorHAns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BF34EC5"/>
    <w:multiLevelType w:val="hybridMultilevel"/>
    <w:tmpl w:val="5EB47B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D5F49C3"/>
    <w:multiLevelType w:val="hybridMultilevel"/>
    <w:tmpl w:val="4BD0E618"/>
    <w:lvl w:ilvl="0" w:tplc="E80225D6">
      <w:start w:val="1"/>
      <w:numFmt w:val="bullet"/>
      <w:pStyle w:val="naevanje"/>
      <w:lvlText w:val=""/>
      <w:lvlJc w:val="left"/>
      <w:pPr>
        <w:ind w:left="502"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4E747BB0"/>
    <w:multiLevelType w:val="multilevel"/>
    <w:tmpl w:val="080E39C2"/>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rPr>
        <w:b/>
        <w:bCs w:val="0"/>
        <w:i w:val="0"/>
        <w:iCs w:val="0"/>
        <w:caps w:val="0"/>
        <w:smallCaps w:val="0"/>
        <w:strike w:val="0"/>
        <w:dstrike w:val="0"/>
        <w:noProof w:val="0"/>
        <w:vanish w:val="0"/>
        <w:spacing w:val="0"/>
        <w:kern w:val="0"/>
        <w:position w:val="0"/>
        <w:u w:val="none"/>
        <w:vertAlign w:val="baseline"/>
        <w:em w:val="none"/>
      </w:rPr>
    </w:lvl>
    <w:lvl w:ilvl="4">
      <w:start w:val="1"/>
      <w:numFmt w:val="decimal"/>
      <w:pStyle w:val="Naslov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nsid w:val="5E8E46FD"/>
    <w:multiLevelType w:val="hybridMultilevel"/>
    <w:tmpl w:val="38B623DE"/>
    <w:lvl w:ilvl="0" w:tplc="40FEDC7E">
      <w:start w:val="1"/>
      <w:numFmt w:val="bullet"/>
      <w:lvlText w:val="•"/>
      <w:lvlJc w:val="left"/>
      <w:pPr>
        <w:tabs>
          <w:tab w:val="num" w:pos="720"/>
        </w:tabs>
        <w:ind w:left="720" w:hanging="360"/>
      </w:pPr>
      <w:rPr>
        <w:rFonts w:ascii="Times New Roman" w:hAnsi="Times New Roman" w:hint="default"/>
      </w:rPr>
    </w:lvl>
    <w:lvl w:ilvl="1" w:tplc="8ACAEE86">
      <w:start w:val="1"/>
      <w:numFmt w:val="bullet"/>
      <w:lvlText w:val="•"/>
      <w:lvlJc w:val="left"/>
      <w:pPr>
        <w:tabs>
          <w:tab w:val="num" w:pos="1440"/>
        </w:tabs>
        <w:ind w:left="1440" w:hanging="360"/>
      </w:pPr>
      <w:rPr>
        <w:rFonts w:ascii="Times New Roman" w:hAnsi="Times New Roman" w:hint="default"/>
      </w:rPr>
    </w:lvl>
    <w:lvl w:ilvl="2" w:tplc="4CF0EC9C" w:tentative="1">
      <w:start w:val="1"/>
      <w:numFmt w:val="bullet"/>
      <w:lvlText w:val="•"/>
      <w:lvlJc w:val="left"/>
      <w:pPr>
        <w:tabs>
          <w:tab w:val="num" w:pos="2160"/>
        </w:tabs>
        <w:ind w:left="2160" w:hanging="360"/>
      </w:pPr>
      <w:rPr>
        <w:rFonts w:ascii="Times New Roman" w:hAnsi="Times New Roman" w:hint="default"/>
      </w:rPr>
    </w:lvl>
    <w:lvl w:ilvl="3" w:tplc="DFB602FA" w:tentative="1">
      <w:start w:val="1"/>
      <w:numFmt w:val="bullet"/>
      <w:lvlText w:val="•"/>
      <w:lvlJc w:val="left"/>
      <w:pPr>
        <w:tabs>
          <w:tab w:val="num" w:pos="2880"/>
        </w:tabs>
        <w:ind w:left="2880" w:hanging="360"/>
      </w:pPr>
      <w:rPr>
        <w:rFonts w:ascii="Times New Roman" w:hAnsi="Times New Roman" w:hint="default"/>
      </w:rPr>
    </w:lvl>
    <w:lvl w:ilvl="4" w:tplc="A5BE0302" w:tentative="1">
      <w:start w:val="1"/>
      <w:numFmt w:val="bullet"/>
      <w:lvlText w:val="•"/>
      <w:lvlJc w:val="left"/>
      <w:pPr>
        <w:tabs>
          <w:tab w:val="num" w:pos="3600"/>
        </w:tabs>
        <w:ind w:left="3600" w:hanging="360"/>
      </w:pPr>
      <w:rPr>
        <w:rFonts w:ascii="Times New Roman" w:hAnsi="Times New Roman" w:hint="default"/>
      </w:rPr>
    </w:lvl>
    <w:lvl w:ilvl="5" w:tplc="A61AE30A" w:tentative="1">
      <w:start w:val="1"/>
      <w:numFmt w:val="bullet"/>
      <w:lvlText w:val="•"/>
      <w:lvlJc w:val="left"/>
      <w:pPr>
        <w:tabs>
          <w:tab w:val="num" w:pos="4320"/>
        </w:tabs>
        <w:ind w:left="4320" w:hanging="360"/>
      </w:pPr>
      <w:rPr>
        <w:rFonts w:ascii="Times New Roman" w:hAnsi="Times New Roman" w:hint="default"/>
      </w:rPr>
    </w:lvl>
    <w:lvl w:ilvl="6" w:tplc="9D347744" w:tentative="1">
      <w:start w:val="1"/>
      <w:numFmt w:val="bullet"/>
      <w:lvlText w:val="•"/>
      <w:lvlJc w:val="left"/>
      <w:pPr>
        <w:tabs>
          <w:tab w:val="num" w:pos="5040"/>
        </w:tabs>
        <w:ind w:left="5040" w:hanging="360"/>
      </w:pPr>
      <w:rPr>
        <w:rFonts w:ascii="Times New Roman" w:hAnsi="Times New Roman" w:hint="default"/>
      </w:rPr>
    </w:lvl>
    <w:lvl w:ilvl="7" w:tplc="C658CA8A" w:tentative="1">
      <w:start w:val="1"/>
      <w:numFmt w:val="bullet"/>
      <w:lvlText w:val="•"/>
      <w:lvlJc w:val="left"/>
      <w:pPr>
        <w:tabs>
          <w:tab w:val="num" w:pos="5760"/>
        </w:tabs>
        <w:ind w:left="5760" w:hanging="360"/>
      </w:pPr>
      <w:rPr>
        <w:rFonts w:ascii="Times New Roman" w:hAnsi="Times New Roman" w:hint="default"/>
      </w:rPr>
    </w:lvl>
    <w:lvl w:ilvl="8" w:tplc="AD3C70D8" w:tentative="1">
      <w:start w:val="1"/>
      <w:numFmt w:val="bullet"/>
      <w:lvlText w:val="•"/>
      <w:lvlJc w:val="left"/>
      <w:pPr>
        <w:tabs>
          <w:tab w:val="num" w:pos="6480"/>
        </w:tabs>
        <w:ind w:left="6480" w:hanging="360"/>
      </w:pPr>
      <w:rPr>
        <w:rFonts w:ascii="Times New Roman" w:hAnsi="Times New Roman" w:hint="default"/>
      </w:rPr>
    </w:lvl>
  </w:abstractNum>
  <w:abstractNum w:abstractNumId="8">
    <w:nsid w:val="664F2363"/>
    <w:multiLevelType w:val="hybridMultilevel"/>
    <w:tmpl w:val="74C2A884"/>
    <w:lvl w:ilvl="0" w:tplc="64D6CD4A">
      <w:start w:val="1"/>
      <w:numFmt w:val="bullet"/>
      <w:lvlText w:val="•"/>
      <w:lvlJc w:val="left"/>
      <w:pPr>
        <w:tabs>
          <w:tab w:val="num" w:pos="720"/>
        </w:tabs>
        <w:ind w:left="720" w:hanging="360"/>
      </w:pPr>
      <w:rPr>
        <w:rFonts w:ascii="Times New Roman" w:hAnsi="Times New Roman" w:hint="default"/>
      </w:rPr>
    </w:lvl>
    <w:lvl w:ilvl="1" w:tplc="2D94CCD4">
      <w:start w:val="1"/>
      <w:numFmt w:val="bullet"/>
      <w:lvlText w:val="•"/>
      <w:lvlJc w:val="left"/>
      <w:pPr>
        <w:tabs>
          <w:tab w:val="num" w:pos="1440"/>
        </w:tabs>
        <w:ind w:left="1440" w:hanging="360"/>
      </w:pPr>
      <w:rPr>
        <w:rFonts w:ascii="Times New Roman" w:hAnsi="Times New Roman" w:hint="default"/>
      </w:rPr>
    </w:lvl>
    <w:lvl w:ilvl="2" w:tplc="5E86D45C" w:tentative="1">
      <w:start w:val="1"/>
      <w:numFmt w:val="bullet"/>
      <w:lvlText w:val="•"/>
      <w:lvlJc w:val="left"/>
      <w:pPr>
        <w:tabs>
          <w:tab w:val="num" w:pos="2160"/>
        </w:tabs>
        <w:ind w:left="2160" w:hanging="360"/>
      </w:pPr>
      <w:rPr>
        <w:rFonts w:ascii="Times New Roman" w:hAnsi="Times New Roman" w:hint="default"/>
      </w:rPr>
    </w:lvl>
    <w:lvl w:ilvl="3" w:tplc="489CFA06" w:tentative="1">
      <w:start w:val="1"/>
      <w:numFmt w:val="bullet"/>
      <w:lvlText w:val="•"/>
      <w:lvlJc w:val="left"/>
      <w:pPr>
        <w:tabs>
          <w:tab w:val="num" w:pos="2880"/>
        </w:tabs>
        <w:ind w:left="2880" w:hanging="360"/>
      </w:pPr>
      <w:rPr>
        <w:rFonts w:ascii="Times New Roman" w:hAnsi="Times New Roman" w:hint="default"/>
      </w:rPr>
    </w:lvl>
    <w:lvl w:ilvl="4" w:tplc="48AEA1B4" w:tentative="1">
      <w:start w:val="1"/>
      <w:numFmt w:val="bullet"/>
      <w:lvlText w:val="•"/>
      <w:lvlJc w:val="left"/>
      <w:pPr>
        <w:tabs>
          <w:tab w:val="num" w:pos="3600"/>
        </w:tabs>
        <w:ind w:left="3600" w:hanging="360"/>
      </w:pPr>
      <w:rPr>
        <w:rFonts w:ascii="Times New Roman" w:hAnsi="Times New Roman" w:hint="default"/>
      </w:rPr>
    </w:lvl>
    <w:lvl w:ilvl="5" w:tplc="DEF85F5C" w:tentative="1">
      <w:start w:val="1"/>
      <w:numFmt w:val="bullet"/>
      <w:lvlText w:val="•"/>
      <w:lvlJc w:val="left"/>
      <w:pPr>
        <w:tabs>
          <w:tab w:val="num" w:pos="4320"/>
        </w:tabs>
        <w:ind w:left="4320" w:hanging="360"/>
      </w:pPr>
      <w:rPr>
        <w:rFonts w:ascii="Times New Roman" w:hAnsi="Times New Roman" w:hint="default"/>
      </w:rPr>
    </w:lvl>
    <w:lvl w:ilvl="6" w:tplc="D51640C8" w:tentative="1">
      <w:start w:val="1"/>
      <w:numFmt w:val="bullet"/>
      <w:lvlText w:val="•"/>
      <w:lvlJc w:val="left"/>
      <w:pPr>
        <w:tabs>
          <w:tab w:val="num" w:pos="5040"/>
        </w:tabs>
        <w:ind w:left="5040" w:hanging="360"/>
      </w:pPr>
      <w:rPr>
        <w:rFonts w:ascii="Times New Roman" w:hAnsi="Times New Roman" w:hint="default"/>
      </w:rPr>
    </w:lvl>
    <w:lvl w:ilvl="7" w:tplc="B69E6046" w:tentative="1">
      <w:start w:val="1"/>
      <w:numFmt w:val="bullet"/>
      <w:lvlText w:val="•"/>
      <w:lvlJc w:val="left"/>
      <w:pPr>
        <w:tabs>
          <w:tab w:val="num" w:pos="5760"/>
        </w:tabs>
        <w:ind w:left="5760" w:hanging="360"/>
      </w:pPr>
      <w:rPr>
        <w:rFonts w:ascii="Times New Roman" w:hAnsi="Times New Roman" w:hint="default"/>
      </w:rPr>
    </w:lvl>
    <w:lvl w:ilvl="8" w:tplc="F5683EF2" w:tentative="1">
      <w:start w:val="1"/>
      <w:numFmt w:val="bullet"/>
      <w:lvlText w:val="•"/>
      <w:lvlJc w:val="left"/>
      <w:pPr>
        <w:tabs>
          <w:tab w:val="num" w:pos="6480"/>
        </w:tabs>
        <w:ind w:left="6480" w:hanging="360"/>
      </w:pPr>
      <w:rPr>
        <w:rFonts w:ascii="Times New Roman" w:hAnsi="Times New Roman" w:hint="default"/>
      </w:rPr>
    </w:lvl>
  </w:abstractNum>
  <w:abstractNum w:abstractNumId="9">
    <w:nsid w:val="68153078"/>
    <w:multiLevelType w:val="hybridMultilevel"/>
    <w:tmpl w:val="64C41B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7AB83376"/>
    <w:multiLevelType w:val="hybridMultilevel"/>
    <w:tmpl w:val="F6189E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1"/>
  </w:num>
  <w:num w:numId="5">
    <w:abstractNumId w:val="9"/>
  </w:num>
  <w:num w:numId="6">
    <w:abstractNumId w:val="4"/>
  </w:num>
  <w:num w:numId="7">
    <w:abstractNumId w:val="3"/>
  </w:num>
  <w:num w:numId="8">
    <w:abstractNumId w:val="7"/>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6"/>
  <w:drawingGridVerticalSpacing w:val="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50"/>
    <w:rsid w:val="00040015"/>
    <w:rsid w:val="000C3531"/>
    <w:rsid w:val="000C74A3"/>
    <w:rsid w:val="000D4801"/>
    <w:rsid w:val="00100111"/>
    <w:rsid w:val="0011287C"/>
    <w:rsid w:val="001B22CC"/>
    <w:rsid w:val="001E06A7"/>
    <w:rsid w:val="001F38AC"/>
    <w:rsid w:val="00207E1B"/>
    <w:rsid w:val="00273D6D"/>
    <w:rsid w:val="002C39C0"/>
    <w:rsid w:val="002D0BAD"/>
    <w:rsid w:val="00301CB1"/>
    <w:rsid w:val="00382F32"/>
    <w:rsid w:val="00396B50"/>
    <w:rsid w:val="0045239A"/>
    <w:rsid w:val="00457517"/>
    <w:rsid w:val="00464CA5"/>
    <w:rsid w:val="004E5D5F"/>
    <w:rsid w:val="005061A2"/>
    <w:rsid w:val="00540F28"/>
    <w:rsid w:val="005827AE"/>
    <w:rsid w:val="00712D2D"/>
    <w:rsid w:val="007142B5"/>
    <w:rsid w:val="007429B2"/>
    <w:rsid w:val="00752432"/>
    <w:rsid w:val="00781FF5"/>
    <w:rsid w:val="007F5101"/>
    <w:rsid w:val="00845F0A"/>
    <w:rsid w:val="008A0ED9"/>
    <w:rsid w:val="00913885"/>
    <w:rsid w:val="0095152A"/>
    <w:rsid w:val="00995BE5"/>
    <w:rsid w:val="0099702A"/>
    <w:rsid w:val="009C53D2"/>
    <w:rsid w:val="009C7C6D"/>
    <w:rsid w:val="00A85163"/>
    <w:rsid w:val="00AA3174"/>
    <w:rsid w:val="00B1191A"/>
    <w:rsid w:val="00B36B6E"/>
    <w:rsid w:val="00B411EB"/>
    <w:rsid w:val="00B46B8E"/>
    <w:rsid w:val="00BE7471"/>
    <w:rsid w:val="00C06FC5"/>
    <w:rsid w:val="00C34A75"/>
    <w:rsid w:val="00C51650"/>
    <w:rsid w:val="00C83ED3"/>
    <w:rsid w:val="00CF12DF"/>
    <w:rsid w:val="00D23B5D"/>
    <w:rsid w:val="00DE2C86"/>
    <w:rsid w:val="00E61272"/>
    <w:rsid w:val="00F301BE"/>
    <w:rsid w:val="00F4775A"/>
    <w:rsid w:val="00F52583"/>
    <w:rsid w:val="00F77A0D"/>
    <w:rsid w:val="00FE0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96B50"/>
    <w:pPr>
      <w:spacing w:after="120" w:line="240" w:lineRule="auto"/>
      <w:jc w:val="both"/>
    </w:pPr>
    <w:rPr>
      <w:rFonts w:ascii="Tahoma" w:hAnsi="Tahoma"/>
    </w:rPr>
  </w:style>
  <w:style w:type="paragraph" w:styleId="Naslov1">
    <w:name w:val="heading 1"/>
    <w:basedOn w:val="Navaden"/>
    <w:next w:val="Navaden"/>
    <w:link w:val="Naslov1Znak"/>
    <w:uiPriority w:val="9"/>
    <w:qFormat/>
    <w:rsid w:val="00396B50"/>
    <w:pPr>
      <w:keepNext/>
      <w:keepLines/>
      <w:numPr>
        <w:numId w:val="1"/>
      </w:numPr>
      <w:spacing w:before="120"/>
      <w:jc w:val="left"/>
      <w:outlineLvl w:val="0"/>
    </w:pPr>
    <w:rPr>
      <w:rFonts w:eastAsiaTheme="majorEastAsia" w:cstheme="majorBidi"/>
      <w:b/>
      <w:bCs/>
      <w:color w:val="000000" w:themeColor="text1"/>
      <w:sz w:val="24"/>
      <w:szCs w:val="28"/>
    </w:rPr>
  </w:style>
  <w:style w:type="paragraph" w:styleId="Naslov2">
    <w:name w:val="heading 2"/>
    <w:basedOn w:val="Navaden"/>
    <w:next w:val="Navaden"/>
    <w:link w:val="Naslov2Znak"/>
    <w:uiPriority w:val="9"/>
    <w:unhideWhenUsed/>
    <w:qFormat/>
    <w:rsid w:val="00396B50"/>
    <w:pPr>
      <w:numPr>
        <w:ilvl w:val="1"/>
        <w:numId w:val="1"/>
      </w:numPr>
      <w:spacing w:before="120"/>
      <w:ind w:left="578" w:right="567" w:hanging="578"/>
      <w:outlineLvl w:val="1"/>
    </w:pPr>
    <w:rPr>
      <w:rFonts w:eastAsiaTheme="majorEastAsia" w:cstheme="majorBidi"/>
      <w:b/>
      <w:bCs/>
      <w:color w:val="000000" w:themeColor="text1"/>
      <w:sz w:val="24"/>
      <w:szCs w:val="26"/>
    </w:rPr>
  </w:style>
  <w:style w:type="paragraph" w:styleId="Naslov3">
    <w:name w:val="heading 3"/>
    <w:basedOn w:val="Navaden"/>
    <w:next w:val="Navaden"/>
    <w:link w:val="Naslov3Znak"/>
    <w:uiPriority w:val="9"/>
    <w:unhideWhenUsed/>
    <w:qFormat/>
    <w:rsid w:val="00396B50"/>
    <w:pPr>
      <w:keepNext/>
      <w:keepLines/>
      <w:numPr>
        <w:ilvl w:val="2"/>
        <w:numId w:val="1"/>
      </w:numPr>
      <w:spacing w:before="120"/>
      <w:ind w:left="1089" w:hanging="1089"/>
      <w:outlineLvl w:val="2"/>
    </w:pPr>
    <w:rPr>
      <w:rFonts w:eastAsiaTheme="majorEastAsia" w:cstheme="majorBidi"/>
      <w:b/>
      <w:bCs/>
      <w:color w:val="000000" w:themeColor="text1"/>
    </w:rPr>
  </w:style>
  <w:style w:type="paragraph" w:styleId="Naslov4">
    <w:name w:val="heading 4"/>
    <w:basedOn w:val="Navaden"/>
    <w:next w:val="Navaden"/>
    <w:link w:val="Naslov4Znak"/>
    <w:uiPriority w:val="9"/>
    <w:unhideWhenUsed/>
    <w:qFormat/>
    <w:rsid w:val="00396B50"/>
    <w:pPr>
      <w:keepNext/>
      <w:keepLines/>
      <w:numPr>
        <w:ilvl w:val="3"/>
        <w:numId w:val="1"/>
      </w:numPr>
      <w:spacing w:before="120"/>
      <w:ind w:left="1077" w:hanging="1077"/>
      <w:outlineLvl w:val="3"/>
    </w:pPr>
    <w:rPr>
      <w:rFonts w:eastAsiaTheme="majorEastAsia" w:cstheme="majorBidi"/>
      <w:b/>
      <w:bCs/>
      <w:iCs/>
      <w:color w:val="000000" w:themeColor="text1"/>
    </w:rPr>
  </w:style>
  <w:style w:type="paragraph" w:styleId="Naslov5">
    <w:name w:val="heading 5"/>
    <w:basedOn w:val="Navaden"/>
    <w:next w:val="Navaden"/>
    <w:link w:val="Naslov5Znak"/>
    <w:uiPriority w:val="9"/>
    <w:unhideWhenUsed/>
    <w:qFormat/>
    <w:rsid w:val="00396B5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slov8">
    <w:name w:val="heading 8"/>
    <w:basedOn w:val="Navaden"/>
    <w:next w:val="Navaden"/>
    <w:link w:val="Naslov8Znak"/>
    <w:uiPriority w:val="9"/>
    <w:semiHidden/>
    <w:unhideWhenUsed/>
    <w:qFormat/>
    <w:rsid w:val="00396B5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396B5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96B50"/>
    <w:rPr>
      <w:rFonts w:ascii="Tahoma" w:eastAsiaTheme="majorEastAsia" w:hAnsi="Tahoma" w:cstheme="majorBidi"/>
      <w:b/>
      <w:bCs/>
      <w:color w:val="000000" w:themeColor="text1"/>
      <w:sz w:val="24"/>
      <w:szCs w:val="28"/>
    </w:rPr>
  </w:style>
  <w:style w:type="character" w:customStyle="1" w:styleId="Naslov2Znak">
    <w:name w:val="Naslov 2 Znak"/>
    <w:basedOn w:val="Privzetapisavaodstavka"/>
    <w:link w:val="Naslov2"/>
    <w:uiPriority w:val="9"/>
    <w:rsid w:val="00396B50"/>
    <w:rPr>
      <w:rFonts w:ascii="Tahoma" w:eastAsiaTheme="majorEastAsia" w:hAnsi="Tahoma" w:cstheme="majorBidi"/>
      <w:b/>
      <w:bCs/>
      <w:color w:val="000000" w:themeColor="text1"/>
      <w:sz w:val="24"/>
      <w:szCs w:val="26"/>
    </w:rPr>
  </w:style>
  <w:style w:type="character" w:customStyle="1" w:styleId="Naslov3Znak">
    <w:name w:val="Naslov 3 Znak"/>
    <w:basedOn w:val="Privzetapisavaodstavka"/>
    <w:link w:val="Naslov3"/>
    <w:uiPriority w:val="9"/>
    <w:rsid w:val="00396B50"/>
    <w:rPr>
      <w:rFonts w:ascii="Tahoma" w:eastAsiaTheme="majorEastAsia" w:hAnsi="Tahoma" w:cstheme="majorBidi"/>
      <w:b/>
      <w:bCs/>
      <w:color w:val="000000" w:themeColor="text1"/>
    </w:rPr>
  </w:style>
  <w:style w:type="character" w:customStyle="1" w:styleId="Naslov4Znak">
    <w:name w:val="Naslov 4 Znak"/>
    <w:basedOn w:val="Privzetapisavaodstavka"/>
    <w:link w:val="Naslov4"/>
    <w:uiPriority w:val="9"/>
    <w:rsid w:val="00396B50"/>
    <w:rPr>
      <w:rFonts w:ascii="Tahoma" w:eastAsiaTheme="majorEastAsia" w:hAnsi="Tahoma" w:cstheme="majorBidi"/>
      <w:b/>
      <w:bCs/>
      <w:iCs/>
      <w:color w:val="000000" w:themeColor="text1"/>
    </w:rPr>
  </w:style>
  <w:style w:type="character" w:customStyle="1" w:styleId="Naslov5Znak">
    <w:name w:val="Naslov 5 Znak"/>
    <w:basedOn w:val="Privzetapisavaodstavka"/>
    <w:link w:val="Naslov5"/>
    <w:uiPriority w:val="9"/>
    <w:rsid w:val="00396B50"/>
    <w:rPr>
      <w:rFonts w:asciiTheme="majorHAnsi" w:eastAsiaTheme="majorEastAsia" w:hAnsiTheme="majorHAnsi" w:cstheme="majorBidi"/>
      <w:color w:val="243F60" w:themeColor="accent1" w:themeShade="7F"/>
    </w:rPr>
  </w:style>
  <w:style w:type="character" w:customStyle="1" w:styleId="Naslov8Znak">
    <w:name w:val="Naslov 8 Znak"/>
    <w:basedOn w:val="Privzetapisavaodstavka"/>
    <w:link w:val="Naslov8"/>
    <w:uiPriority w:val="9"/>
    <w:semiHidden/>
    <w:rsid w:val="00396B50"/>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396B50"/>
    <w:rPr>
      <w:rFonts w:asciiTheme="majorHAnsi" w:eastAsiaTheme="majorEastAsia" w:hAnsiTheme="majorHAnsi" w:cstheme="majorBidi"/>
      <w:i/>
      <w:iCs/>
      <w:color w:val="404040" w:themeColor="text1" w:themeTint="BF"/>
      <w:sz w:val="20"/>
      <w:szCs w:val="20"/>
    </w:rPr>
  </w:style>
  <w:style w:type="paragraph" w:styleId="Telobesedila">
    <w:name w:val="Body Text"/>
    <w:basedOn w:val="Navaden"/>
    <w:link w:val="TelobesedilaZnak1"/>
    <w:rsid w:val="00396B50"/>
    <w:pPr>
      <w:spacing w:after="0" w:line="288" w:lineRule="auto"/>
    </w:pPr>
    <w:rPr>
      <w:rFonts w:eastAsia="Times New Roman" w:cs="Times New Roman"/>
      <w:sz w:val="20"/>
      <w:szCs w:val="20"/>
    </w:rPr>
  </w:style>
  <w:style w:type="character" w:customStyle="1" w:styleId="TelobesedilaZnak">
    <w:name w:val="Telo besedila Znak"/>
    <w:basedOn w:val="Privzetapisavaodstavka"/>
    <w:uiPriority w:val="99"/>
    <w:semiHidden/>
    <w:rsid w:val="00396B50"/>
    <w:rPr>
      <w:rFonts w:ascii="Tahoma" w:hAnsi="Tahoma"/>
    </w:rPr>
  </w:style>
  <w:style w:type="character" w:customStyle="1" w:styleId="TelobesedilaZnak1">
    <w:name w:val="Telo besedila Znak1"/>
    <w:basedOn w:val="Privzetapisavaodstavka"/>
    <w:link w:val="Telobesedila"/>
    <w:rsid w:val="00396B50"/>
    <w:rPr>
      <w:rFonts w:ascii="Tahoma" w:eastAsia="Times New Roman" w:hAnsi="Tahoma" w:cs="Times New Roman"/>
      <w:sz w:val="20"/>
      <w:szCs w:val="20"/>
    </w:rPr>
  </w:style>
  <w:style w:type="paragraph" w:customStyle="1" w:styleId="naevanje">
    <w:name w:val="naševanje"/>
    <w:basedOn w:val="Navaden"/>
    <w:next w:val="Navaden"/>
    <w:link w:val="naevanjeZnak"/>
    <w:qFormat/>
    <w:rsid w:val="00396B50"/>
    <w:pPr>
      <w:numPr>
        <w:numId w:val="2"/>
      </w:numPr>
      <w:spacing w:after="0"/>
    </w:pPr>
  </w:style>
  <w:style w:type="character" w:customStyle="1" w:styleId="naevanjeZnak">
    <w:name w:val="naševanje Znak"/>
    <w:basedOn w:val="Privzetapisavaodstavka"/>
    <w:link w:val="naevanje"/>
    <w:rsid w:val="00396B50"/>
    <w:rPr>
      <w:rFonts w:ascii="Tahoma" w:hAnsi="Tahoma"/>
    </w:rPr>
  </w:style>
  <w:style w:type="paragraph" w:styleId="Sprotnaopomba-besedilo">
    <w:name w:val="footnote text"/>
    <w:basedOn w:val="Navaden"/>
    <w:link w:val="Sprotnaopomba-besediloZnak"/>
    <w:semiHidden/>
    <w:unhideWhenUsed/>
    <w:rsid w:val="00396B50"/>
    <w:pPr>
      <w:spacing w:after="0"/>
    </w:pPr>
    <w:rPr>
      <w:sz w:val="20"/>
      <w:szCs w:val="20"/>
    </w:rPr>
  </w:style>
  <w:style w:type="character" w:customStyle="1" w:styleId="Sprotnaopomba-besediloZnak">
    <w:name w:val="Sprotna opomba - besedilo Znak"/>
    <w:basedOn w:val="Privzetapisavaodstavka"/>
    <w:link w:val="Sprotnaopomba-besedilo"/>
    <w:semiHidden/>
    <w:rsid w:val="00396B50"/>
    <w:rPr>
      <w:rFonts w:ascii="Tahoma" w:hAnsi="Tahoma"/>
      <w:sz w:val="20"/>
      <w:szCs w:val="20"/>
    </w:rPr>
  </w:style>
  <w:style w:type="character" w:styleId="Sprotnaopomba-sklic">
    <w:name w:val="footnote reference"/>
    <w:basedOn w:val="Privzetapisavaodstavka"/>
    <w:semiHidden/>
    <w:unhideWhenUsed/>
    <w:rsid w:val="00396B50"/>
    <w:rPr>
      <w:vertAlign w:val="superscript"/>
    </w:rPr>
  </w:style>
  <w:style w:type="paragraph" w:customStyle="1" w:styleId="malerke-eur">
    <w:name w:val="male črke - eur"/>
    <w:basedOn w:val="Navaden"/>
    <w:link w:val="malerke-eurZnak"/>
    <w:qFormat/>
    <w:rsid w:val="00396B50"/>
    <w:pPr>
      <w:spacing w:after="0"/>
      <w:jc w:val="right"/>
    </w:pPr>
    <w:rPr>
      <w:sz w:val="14"/>
    </w:rPr>
  </w:style>
  <w:style w:type="character" w:customStyle="1" w:styleId="malerke-eurZnak">
    <w:name w:val="male črke - eur Znak"/>
    <w:basedOn w:val="Privzetapisavaodstavka"/>
    <w:link w:val="malerke-eur"/>
    <w:rsid w:val="00396B50"/>
    <w:rPr>
      <w:rFonts w:ascii="Tahoma" w:hAnsi="Tahoma"/>
      <w:sz w:val="14"/>
    </w:rPr>
  </w:style>
  <w:style w:type="paragraph" w:customStyle="1" w:styleId="Default">
    <w:name w:val="Default"/>
    <w:rsid w:val="00396B50"/>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59"/>
    <w:rsid w:val="00F52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C06FC5"/>
    <w:pPr>
      <w:spacing w:after="0"/>
    </w:pPr>
    <w:rPr>
      <w:rFonts w:cs="Tahoma"/>
      <w:sz w:val="16"/>
      <w:szCs w:val="16"/>
    </w:rPr>
  </w:style>
  <w:style w:type="character" w:customStyle="1" w:styleId="BesedilooblakaZnak">
    <w:name w:val="Besedilo oblačka Znak"/>
    <w:basedOn w:val="Privzetapisavaodstavka"/>
    <w:link w:val="Besedilooblaka"/>
    <w:uiPriority w:val="99"/>
    <w:semiHidden/>
    <w:rsid w:val="00C06FC5"/>
    <w:rPr>
      <w:rFonts w:ascii="Tahoma" w:hAnsi="Tahoma" w:cs="Tahoma"/>
      <w:sz w:val="16"/>
      <w:szCs w:val="16"/>
    </w:rPr>
  </w:style>
  <w:style w:type="paragraph" w:styleId="Odstavekseznama">
    <w:name w:val="List Paragraph"/>
    <w:basedOn w:val="Navaden"/>
    <w:uiPriority w:val="34"/>
    <w:qFormat/>
    <w:rsid w:val="00E61272"/>
    <w:pPr>
      <w:ind w:left="720"/>
      <w:contextualSpacing/>
    </w:pPr>
  </w:style>
  <w:style w:type="character" w:styleId="Pripombasklic">
    <w:name w:val="annotation reference"/>
    <w:basedOn w:val="Privzetapisavaodstavka"/>
    <w:uiPriority w:val="99"/>
    <w:semiHidden/>
    <w:unhideWhenUsed/>
    <w:rsid w:val="00E61272"/>
    <w:rPr>
      <w:sz w:val="16"/>
      <w:szCs w:val="16"/>
    </w:rPr>
  </w:style>
  <w:style w:type="paragraph" w:styleId="Pripombabesedilo">
    <w:name w:val="annotation text"/>
    <w:basedOn w:val="Navaden"/>
    <w:link w:val="PripombabesediloZnak"/>
    <w:uiPriority w:val="99"/>
    <w:semiHidden/>
    <w:unhideWhenUsed/>
    <w:rsid w:val="00E61272"/>
    <w:rPr>
      <w:sz w:val="20"/>
      <w:szCs w:val="20"/>
    </w:rPr>
  </w:style>
  <w:style w:type="character" w:customStyle="1" w:styleId="PripombabesediloZnak">
    <w:name w:val="Pripomba – besedilo Znak"/>
    <w:basedOn w:val="Privzetapisavaodstavka"/>
    <w:link w:val="Pripombabesedilo"/>
    <w:uiPriority w:val="99"/>
    <w:semiHidden/>
    <w:rsid w:val="00E61272"/>
    <w:rPr>
      <w:rFonts w:ascii="Tahoma" w:hAnsi="Tahoma"/>
      <w:sz w:val="20"/>
      <w:szCs w:val="20"/>
    </w:rPr>
  </w:style>
  <w:style w:type="paragraph" w:styleId="Glava">
    <w:name w:val="header"/>
    <w:basedOn w:val="Navaden"/>
    <w:link w:val="GlavaZnak"/>
    <w:uiPriority w:val="99"/>
    <w:unhideWhenUsed/>
    <w:rsid w:val="00B46B8E"/>
    <w:pPr>
      <w:tabs>
        <w:tab w:val="center" w:pos="4536"/>
        <w:tab w:val="right" w:pos="9072"/>
      </w:tabs>
      <w:spacing w:after="0"/>
    </w:pPr>
  </w:style>
  <w:style w:type="character" w:customStyle="1" w:styleId="GlavaZnak">
    <w:name w:val="Glava Znak"/>
    <w:basedOn w:val="Privzetapisavaodstavka"/>
    <w:link w:val="Glava"/>
    <w:uiPriority w:val="99"/>
    <w:rsid w:val="00B46B8E"/>
    <w:rPr>
      <w:rFonts w:ascii="Tahoma" w:hAnsi="Tahoma"/>
    </w:rPr>
  </w:style>
  <w:style w:type="paragraph" w:styleId="Noga">
    <w:name w:val="footer"/>
    <w:basedOn w:val="Navaden"/>
    <w:link w:val="NogaZnak"/>
    <w:uiPriority w:val="99"/>
    <w:unhideWhenUsed/>
    <w:rsid w:val="00B46B8E"/>
    <w:pPr>
      <w:tabs>
        <w:tab w:val="center" w:pos="4536"/>
        <w:tab w:val="right" w:pos="9072"/>
      </w:tabs>
      <w:spacing w:after="0"/>
    </w:pPr>
  </w:style>
  <w:style w:type="character" w:customStyle="1" w:styleId="NogaZnak">
    <w:name w:val="Noga Znak"/>
    <w:basedOn w:val="Privzetapisavaodstavka"/>
    <w:link w:val="Noga"/>
    <w:uiPriority w:val="99"/>
    <w:rsid w:val="00B46B8E"/>
    <w:rPr>
      <w:rFonts w:ascii="Tahoma" w:hAnsi="Tahoma"/>
    </w:rPr>
  </w:style>
  <w:style w:type="paragraph" w:styleId="Navadensplet">
    <w:name w:val="Normal (Web)"/>
    <w:basedOn w:val="Navaden"/>
    <w:uiPriority w:val="99"/>
    <w:semiHidden/>
    <w:unhideWhenUsed/>
    <w:rsid w:val="00C34A75"/>
    <w:pPr>
      <w:spacing w:before="100" w:beforeAutospacing="1" w:after="100" w:afterAutospacing="1"/>
      <w:jc w:val="left"/>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96B50"/>
    <w:pPr>
      <w:spacing w:after="120" w:line="240" w:lineRule="auto"/>
      <w:jc w:val="both"/>
    </w:pPr>
    <w:rPr>
      <w:rFonts w:ascii="Tahoma" w:hAnsi="Tahoma"/>
    </w:rPr>
  </w:style>
  <w:style w:type="paragraph" w:styleId="Naslov1">
    <w:name w:val="heading 1"/>
    <w:basedOn w:val="Navaden"/>
    <w:next w:val="Navaden"/>
    <w:link w:val="Naslov1Znak"/>
    <w:uiPriority w:val="9"/>
    <w:qFormat/>
    <w:rsid w:val="00396B50"/>
    <w:pPr>
      <w:keepNext/>
      <w:keepLines/>
      <w:numPr>
        <w:numId w:val="1"/>
      </w:numPr>
      <w:spacing w:before="120"/>
      <w:jc w:val="left"/>
      <w:outlineLvl w:val="0"/>
    </w:pPr>
    <w:rPr>
      <w:rFonts w:eastAsiaTheme="majorEastAsia" w:cstheme="majorBidi"/>
      <w:b/>
      <w:bCs/>
      <w:color w:val="000000" w:themeColor="text1"/>
      <w:sz w:val="24"/>
      <w:szCs w:val="28"/>
    </w:rPr>
  </w:style>
  <w:style w:type="paragraph" w:styleId="Naslov2">
    <w:name w:val="heading 2"/>
    <w:basedOn w:val="Navaden"/>
    <w:next w:val="Navaden"/>
    <w:link w:val="Naslov2Znak"/>
    <w:uiPriority w:val="9"/>
    <w:unhideWhenUsed/>
    <w:qFormat/>
    <w:rsid w:val="00396B50"/>
    <w:pPr>
      <w:numPr>
        <w:ilvl w:val="1"/>
        <w:numId w:val="1"/>
      </w:numPr>
      <w:spacing w:before="120"/>
      <w:ind w:left="578" w:right="567" w:hanging="578"/>
      <w:outlineLvl w:val="1"/>
    </w:pPr>
    <w:rPr>
      <w:rFonts w:eastAsiaTheme="majorEastAsia" w:cstheme="majorBidi"/>
      <w:b/>
      <w:bCs/>
      <w:color w:val="000000" w:themeColor="text1"/>
      <w:sz w:val="24"/>
      <w:szCs w:val="26"/>
    </w:rPr>
  </w:style>
  <w:style w:type="paragraph" w:styleId="Naslov3">
    <w:name w:val="heading 3"/>
    <w:basedOn w:val="Navaden"/>
    <w:next w:val="Navaden"/>
    <w:link w:val="Naslov3Znak"/>
    <w:uiPriority w:val="9"/>
    <w:unhideWhenUsed/>
    <w:qFormat/>
    <w:rsid w:val="00396B50"/>
    <w:pPr>
      <w:keepNext/>
      <w:keepLines/>
      <w:numPr>
        <w:ilvl w:val="2"/>
        <w:numId w:val="1"/>
      </w:numPr>
      <w:spacing w:before="120"/>
      <w:ind w:left="1089" w:hanging="1089"/>
      <w:outlineLvl w:val="2"/>
    </w:pPr>
    <w:rPr>
      <w:rFonts w:eastAsiaTheme="majorEastAsia" w:cstheme="majorBidi"/>
      <w:b/>
      <w:bCs/>
      <w:color w:val="000000" w:themeColor="text1"/>
    </w:rPr>
  </w:style>
  <w:style w:type="paragraph" w:styleId="Naslov4">
    <w:name w:val="heading 4"/>
    <w:basedOn w:val="Navaden"/>
    <w:next w:val="Navaden"/>
    <w:link w:val="Naslov4Znak"/>
    <w:uiPriority w:val="9"/>
    <w:unhideWhenUsed/>
    <w:qFormat/>
    <w:rsid w:val="00396B50"/>
    <w:pPr>
      <w:keepNext/>
      <w:keepLines/>
      <w:numPr>
        <w:ilvl w:val="3"/>
        <w:numId w:val="1"/>
      </w:numPr>
      <w:spacing w:before="120"/>
      <w:ind w:left="1077" w:hanging="1077"/>
      <w:outlineLvl w:val="3"/>
    </w:pPr>
    <w:rPr>
      <w:rFonts w:eastAsiaTheme="majorEastAsia" w:cstheme="majorBidi"/>
      <w:b/>
      <w:bCs/>
      <w:iCs/>
      <w:color w:val="000000" w:themeColor="text1"/>
    </w:rPr>
  </w:style>
  <w:style w:type="paragraph" w:styleId="Naslov5">
    <w:name w:val="heading 5"/>
    <w:basedOn w:val="Navaden"/>
    <w:next w:val="Navaden"/>
    <w:link w:val="Naslov5Znak"/>
    <w:uiPriority w:val="9"/>
    <w:unhideWhenUsed/>
    <w:qFormat/>
    <w:rsid w:val="00396B5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slov8">
    <w:name w:val="heading 8"/>
    <w:basedOn w:val="Navaden"/>
    <w:next w:val="Navaden"/>
    <w:link w:val="Naslov8Znak"/>
    <w:uiPriority w:val="9"/>
    <w:semiHidden/>
    <w:unhideWhenUsed/>
    <w:qFormat/>
    <w:rsid w:val="00396B5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396B5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96B50"/>
    <w:rPr>
      <w:rFonts w:ascii="Tahoma" w:eastAsiaTheme="majorEastAsia" w:hAnsi="Tahoma" w:cstheme="majorBidi"/>
      <w:b/>
      <w:bCs/>
      <w:color w:val="000000" w:themeColor="text1"/>
      <w:sz w:val="24"/>
      <w:szCs w:val="28"/>
    </w:rPr>
  </w:style>
  <w:style w:type="character" w:customStyle="1" w:styleId="Naslov2Znak">
    <w:name w:val="Naslov 2 Znak"/>
    <w:basedOn w:val="Privzetapisavaodstavka"/>
    <w:link w:val="Naslov2"/>
    <w:uiPriority w:val="9"/>
    <w:rsid w:val="00396B50"/>
    <w:rPr>
      <w:rFonts w:ascii="Tahoma" w:eastAsiaTheme="majorEastAsia" w:hAnsi="Tahoma" w:cstheme="majorBidi"/>
      <w:b/>
      <w:bCs/>
      <w:color w:val="000000" w:themeColor="text1"/>
      <w:sz w:val="24"/>
      <w:szCs w:val="26"/>
    </w:rPr>
  </w:style>
  <w:style w:type="character" w:customStyle="1" w:styleId="Naslov3Znak">
    <w:name w:val="Naslov 3 Znak"/>
    <w:basedOn w:val="Privzetapisavaodstavka"/>
    <w:link w:val="Naslov3"/>
    <w:uiPriority w:val="9"/>
    <w:rsid w:val="00396B50"/>
    <w:rPr>
      <w:rFonts w:ascii="Tahoma" w:eastAsiaTheme="majorEastAsia" w:hAnsi="Tahoma" w:cstheme="majorBidi"/>
      <w:b/>
      <w:bCs/>
      <w:color w:val="000000" w:themeColor="text1"/>
    </w:rPr>
  </w:style>
  <w:style w:type="character" w:customStyle="1" w:styleId="Naslov4Znak">
    <w:name w:val="Naslov 4 Znak"/>
    <w:basedOn w:val="Privzetapisavaodstavka"/>
    <w:link w:val="Naslov4"/>
    <w:uiPriority w:val="9"/>
    <w:rsid w:val="00396B50"/>
    <w:rPr>
      <w:rFonts w:ascii="Tahoma" w:eastAsiaTheme="majorEastAsia" w:hAnsi="Tahoma" w:cstheme="majorBidi"/>
      <w:b/>
      <w:bCs/>
      <w:iCs/>
      <w:color w:val="000000" w:themeColor="text1"/>
    </w:rPr>
  </w:style>
  <w:style w:type="character" w:customStyle="1" w:styleId="Naslov5Znak">
    <w:name w:val="Naslov 5 Znak"/>
    <w:basedOn w:val="Privzetapisavaodstavka"/>
    <w:link w:val="Naslov5"/>
    <w:uiPriority w:val="9"/>
    <w:rsid w:val="00396B50"/>
    <w:rPr>
      <w:rFonts w:asciiTheme="majorHAnsi" w:eastAsiaTheme="majorEastAsia" w:hAnsiTheme="majorHAnsi" w:cstheme="majorBidi"/>
      <w:color w:val="243F60" w:themeColor="accent1" w:themeShade="7F"/>
    </w:rPr>
  </w:style>
  <w:style w:type="character" w:customStyle="1" w:styleId="Naslov8Znak">
    <w:name w:val="Naslov 8 Znak"/>
    <w:basedOn w:val="Privzetapisavaodstavka"/>
    <w:link w:val="Naslov8"/>
    <w:uiPriority w:val="9"/>
    <w:semiHidden/>
    <w:rsid w:val="00396B50"/>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396B50"/>
    <w:rPr>
      <w:rFonts w:asciiTheme="majorHAnsi" w:eastAsiaTheme="majorEastAsia" w:hAnsiTheme="majorHAnsi" w:cstheme="majorBidi"/>
      <w:i/>
      <w:iCs/>
      <w:color w:val="404040" w:themeColor="text1" w:themeTint="BF"/>
      <w:sz w:val="20"/>
      <w:szCs w:val="20"/>
    </w:rPr>
  </w:style>
  <w:style w:type="paragraph" w:styleId="Telobesedila">
    <w:name w:val="Body Text"/>
    <w:basedOn w:val="Navaden"/>
    <w:link w:val="TelobesedilaZnak1"/>
    <w:rsid w:val="00396B50"/>
    <w:pPr>
      <w:spacing w:after="0" w:line="288" w:lineRule="auto"/>
    </w:pPr>
    <w:rPr>
      <w:rFonts w:eastAsia="Times New Roman" w:cs="Times New Roman"/>
      <w:sz w:val="20"/>
      <w:szCs w:val="20"/>
    </w:rPr>
  </w:style>
  <w:style w:type="character" w:customStyle="1" w:styleId="TelobesedilaZnak">
    <w:name w:val="Telo besedila Znak"/>
    <w:basedOn w:val="Privzetapisavaodstavka"/>
    <w:uiPriority w:val="99"/>
    <w:semiHidden/>
    <w:rsid w:val="00396B50"/>
    <w:rPr>
      <w:rFonts w:ascii="Tahoma" w:hAnsi="Tahoma"/>
    </w:rPr>
  </w:style>
  <w:style w:type="character" w:customStyle="1" w:styleId="TelobesedilaZnak1">
    <w:name w:val="Telo besedila Znak1"/>
    <w:basedOn w:val="Privzetapisavaodstavka"/>
    <w:link w:val="Telobesedila"/>
    <w:rsid w:val="00396B50"/>
    <w:rPr>
      <w:rFonts w:ascii="Tahoma" w:eastAsia="Times New Roman" w:hAnsi="Tahoma" w:cs="Times New Roman"/>
      <w:sz w:val="20"/>
      <w:szCs w:val="20"/>
    </w:rPr>
  </w:style>
  <w:style w:type="paragraph" w:customStyle="1" w:styleId="naevanje">
    <w:name w:val="naševanje"/>
    <w:basedOn w:val="Navaden"/>
    <w:next w:val="Navaden"/>
    <w:link w:val="naevanjeZnak"/>
    <w:qFormat/>
    <w:rsid w:val="00396B50"/>
    <w:pPr>
      <w:numPr>
        <w:numId w:val="2"/>
      </w:numPr>
      <w:spacing w:after="0"/>
    </w:pPr>
  </w:style>
  <w:style w:type="character" w:customStyle="1" w:styleId="naevanjeZnak">
    <w:name w:val="naševanje Znak"/>
    <w:basedOn w:val="Privzetapisavaodstavka"/>
    <w:link w:val="naevanje"/>
    <w:rsid w:val="00396B50"/>
    <w:rPr>
      <w:rFonts w:ascii="Tahoma" w:hAnsi="Tahoma"/>
    </w:rPr>
  </w:style>
  <w:style w:type="paragraph" w:styleId="Sprotnaopomba-besedilo">
    <w:name w:val="footnote text"/>
    <w:basedOn w:val="Navaden"/>
    <w:link w:val="Sprotnaopomba-besediloZnak"/>
    <w:semiHidden/>
    <w:unhideWhenUsed/>
    <w:rsid w:val="00396B50"/>
    <w:pPr>
      <w:spacing w:after="0"/>
    </w:pPr>
    <w:rPr>
      <w:sz w:val="20"/>
      <w:szCs w:val="20"/>
    </w:rPr>
  </w:style>
  <w:style w:type="character" w:customStyle="1" w:styleId="Sprotnaopomba-besediloZnak">
    <w:name w:val="Sprotna opomba - besedilo Znak"/>
    <w:basedOn w:val="Privzetapisavaodstavka"/>
    <w:link w:val="Sprotnaopomba-besedilo"/>
    <w:semiHidden/>
    <w:rsid w:val="00396B50"/>
    <w:rPr>
      <w:rFonts w:ascii="Tahoma" w:hAnsi="Tahoma"/>
      <w:sz w:val="20"/>
      <w:szCs w:val="20"/>
    </w:rPr>
  </w:style>
  <w:style w:type="character" w:styleId="Sprotnaopomba-sklic">
    <w:name w:val="footnote reference"/>
    <w:basedOn w:val="Privzetapisavaodstavka"/>
    <w:semiHidden/>
    <w:unhideWhenUsed/>
    <w:rsid w:val="00396B50"/>
    <w:rPr>
      <w:vertAlign w:val="superscript"/>
    </w:rPr>
  </w:style>
  <w:style w:type="paragraph" w:customStyle="1" w:styleId="malerke-eur">
    <w:name w:val="male črke - eur"/>
    <w:basedOn w:val="Navaden"/>
    <w:link w:val="malerke-eurZnak"/>
    <w:qFormat/>
    <w:rsid w:val="00396B50"/>
    <w:pPr>
      <w:spacing w:after="0"/>
      <w:jc w:val="right"/>
    </w:pPr>
    <w:rPr>
      <w:sz w:val="14"/>
    </w:rPr>
  </w:style>
  <w:style w:type="character" w:customStyle="1" w:styleId="malerke-eurZnak">
    <w:name w:val="male črke - eur Znak"/>
    <w:basedOn w:val="Privzetapisavaodstavka"/>
    <w:link w:val="malerke-eur"/>
    <w:rsid w:val="00396B50"/>
    <w:rPr>
      <w:rFonts w:ascii="Tahoma" w:hAnsi="Tahoma"/>
      <w:sz w:val="14"/>
    </w:rPr>
  </w:style>
  <w:style w:type="paragraph" w:customStyle="1" w:styleId="Default">
    <w:name w:val="Default"/>
    <w:rsid w:val="00396B50"/>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59"/>
    <w:rsid w:val="00F52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C06FC5"/>
    <w:pPr>
      <w:spacing w:after="0"/>
    </w:pPr>
    <w:rPr>
      <w:rFonts w:cs="Tahoma"/>
      <w:sz w:val="16"/>
      <w:szCs w:val="16"/>
    </w:rPr>
  </w:style>
  <w:style w:type="character" w:customStyle="1" w:styleId="BesedilooblakaZnak">
    <w:name w:val="Besedilo oblačka Znak"/>
    <w:basedOn w:val="Privzetapisavaodstavka"/>
    <w:link w:val="Besedilooblaka"/>
    <w:uiPriority w:val="99"/>
    <w:semiHidden/>
    <w:rsid w:val="00C06FC5"/>
    <w:rPr>
      <w:rFonts w:ascii="Tahoma" w:hAnsi="Tahoma" w:cs="Tahoma"/>
      <w:sz w:val="16"/>
      <w:szCs w:val="16"/>
    </w:rPr>
  </w:style>
  <w:style w:type="paragraph" w:styleId="Odstavekseznama">
    <w:name w:val="List Paragraph"/>
    <w:basedOn w:val="Navaden"/>
    <w:uiPriority w:val="34"/>
    <w:qFormat/>
    <w:rsid w:val="00E61272"/>
    <w:pPr>
      <w:ind w:left="720"/>
      <w:contextualSpacing/>
    </w:pPr>
  </w:style>
  <w:style w:type="character" w:styleId="Pripombasklic">
    <w:name w:val="annotation reference"/>
    <w:basedOn w:val="Privzetapisavaodstavka"/>
    <w:uiPriority w:val="99"/>
    <w:semiHidden/>
    <w:unhideWhenUsed/>
    <w:rsid w:val="00E61272"/>
    <w:rPr>
      <w:sz w:val="16"/>
      <w:szCs w:val="16"/>
    </w:rPr>
  </w:style>
  <w:style w:type="paragraph" w:styleId="Pripombabesedilo">
    <w:name w:val="annotation text"/>
    <w:basedOn w:val="Navaden"/>
    <w:link w:val="PripombabesediloZnak"/>
    <w:uiPriority w:val="99"/>
    <w:semiHidden/>
    <w:unhideWhenUsed/>
    <w:rsid w:val="00E61272"/>
    <w:rPr>
      <w:sz w:val="20"/>
      <w:szCs w:val="20"/>
    </w:rPr>
  </w:style>
  <w:style w:type="character" w:customStyle="1" w:styleId="PripombabesediloZnak">
    <w:name w:val="Pripomba – besedilo Znak"/>
    <w:basedOn w:val="Privzetapisavaodstavka"/>
    <w:link w:val="Pripombabesedilo"/>
    <w:uiPriority w:val="99"/>
    <w:semiHidden/>
    <w:rsid w:val="00E61272"/>
    <w:rPr>
      <w:rFonts w:ascii="Tahoma" w:hAnsi="Tahoma"/>
      <w:sz w:val="20"/>
      <w:szCs w:val="20"/>
    </w:rPr>
  </w:style>
  <w:style w:type="paragraph" w:styleId="Glava">
    <w:name w:val="header"/>
    <w:basedOn w:val="Navaden"/>
    <w:link w:val="GlavaZnak"/>
    <w:uiPriority w:val="99"/>
    <w:unhideWhenUsed/>
    <w:rsid w:val="00B46B8E"/>
    <w:pPr>
      <w:tabs>
        <w:tab w:val="center" w:pos="4536"/>
        <w:tab w:val="right" w:pos="9072"/>
      </w:tabs>
      <w:spacing w:after="0"/>
    </w:pPr>
  </w:style>
  <w:style w:type="character" w:customStyle="1" w:styleId="GlavaZnak">
    <w:name w:val="Glava Znak"/>
    <w:basedOn w:val="Privzetapisavaodstavka"/>
    <w:link w:val="Glava"/>
    <w:uiPriority w:val="99"/>
    <w:rsid w:val="00B46B8E"/>
    <w:rPr>
      <w:rFonts w:ascii="Tahoma" w:hAnsi="Tahoma"/>
    </w:rPr>
  </w:style>
  <w:style w:type="paragraph" w:styleId="Noga">
    <w:name w:val="footer"/>
    <w:basedOn w:val="Navaden"/>
    <w:link w:val="NogaZnak"/>
    <w:uiPriority w:val="99"/>
    <w:unhideWhenUsed/>
    <w:rsid w:val="00B46B8E"/>
    <w:pPr>
      <w:tabs>
        <w:tab w:val="center" w:pos="4536"/>
        <w:tab w:val="right" w:pos="9072"/>
      </w:tabs>
      <w:spacing w:after="0"/>
    </w:pPr>
  </w:style>
  <w:style w:type="character" w:customStyle="1" w:styleId="NogaZnak">
    <w:name w:val="Noga Znak"/>
    <w:basedOn w:val="Privzetapisavaodstavka"/>
    <w:link w:val="Noga"/>
    <w:uiPriority w:val="99"/>
    <w:rsid w:val="00B46B8E"/>
    <w:rPr>
      <w:rFonts w:ascii="Tahoma" w:hAnsi="Tahoma"/>
    </w:rPr>
  </w:style>
  <w:style w:type="paragraph" w:styleId="Navadensplet">
    <w:name w:val="Normal (Web)"/>
    <w:basedOn w:val="Navaden"/>
    <w:uiPriority w:val="99"/>
    <w:semiHidden/>
    <w:unhideWhenUsed/>
    <w:rsid w:val="00C34A75"/>
    <w:pPr>
      <w:spacing w:before="100" w:beforeAutospacing="1" w:after="100" w:afterAutospacing="1"/>
      <w:jc w:val="left"/>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4885">
      <w:bodyDiv w:val="1"/>
      <w:marLeft w:val="0"/>
      <w:marRight w:val="0"/>
      <w:marTop w:val="0"/>
      <w:marBottom w:val="0"/>
      <w:divBdr>
        <w:top w:val="none" w:sz="0" w:space="0" w:color="auto"/>
        <w:left w:val="none" w:sz="0" w:space="0" w:color="auto"/>
        <w:bottom w:val="none" w:sz="0" w:space="0" w:color="auto"/>
        <w:right w:val="none" w:sz="0" w:space="0" w:color="auto"/>
      </w:divBdr>
      <w:divsChild>
        <w:div w:id="226427647">
          <w:marLeft w:val="547"/>
          <w:marRight w:val="0"/>
          <w:marTop w:val="0"/>
          <w:marBottom w:val="0"/>
          <w:divBdr>
            <w:top w:val="none" w:sz="0" w:space="0" w:color="auto"/>
            <w:left w:val="none" w:sz="0" w:space="0" w:color="auto"/>
            <w:bottom w:val="none" w:sz="0" w:space="0" w:color="auto"/>
            <w:right w:val="none" w:sz="0" w:space="0" w:color="auto"/>
          </w:divBdr>
        </w:div>
      </w:divsChild>
    </w:div>
    <w:div w:id="244582622">
      <w:bodyDiv w:val="1"/>
      <w:marLeft w:val="0"/>
      <w:marRight w:val="0"/>
      <w:marTop w:val="0"/>
      <w:marBottom w:val="0"/>
      <w:divBdr>
        <w:top w:val="none" w:sz="0" w:space="0" w:color="auto"/>
        <w:left w:val="none" w:sz="0" w:space="0" w:color="auto"/>
        <w:bottom w:val="none" w:sz="0" w:space="0" w:color="auto"/>
        <w:right w:val="none" w:sz="0" w:space="0" w:color="auto"/>
      </w:divBdr>
      <w:divsChild>
        <w:div w:id="1881477116">
          <w:marLeft w:val="547"/>
          <w:marRight w:val="0"/>
          <w:marTop w:val="67"/>
          <w:marBottom w:val="0"/>
          <w:divBdr>
            <w:top w:val="none" w:sz="0" w:space="0" w:color="auto"/>
            <w:left w:val="none" w:sz="0" w:space="0" w:color="auto"/>
            <w:bottom w:val="none" w:sz="0" w:space="0" w:color="auto"/>
            <w:right w:val="none" w:sz="0" w:space="0" w:color="auto"/>
          </w:divBdr>
        </w:div>
        <w:div w:id="541940499">
          <w:marLeft w:val="547"/>
          <w:marRight w:val="0"/>
          <w:marTop w:val="67"/>
          <w:marBottom w:val="0"/>
          <w:divBdr>
            <w:top w:val="none" w:sz="0" w:space="0" w:color="auto"/>
            <w:left w:val="none" w:sz="0" w:space="0" w:color="auto"/>
            <w:bottom w:val="none" w:sz="0" w:space="0" w:color="auto"/>
            <w:right w:val="none" w:sz="0" w:space="0" w:color="auto"/>
          </w:divBdr>
        </w:div>
      </w:divsChild>
    </w:div>
    <w:div w:id="382094911">
      <w:bodyDiv w:val="1"/>
      <w:marLeft w:val="0"/>
      <w:marRight w:val="0"/>
      <w:marTop w:val="0"/>
      <w:marBottom w:val="0"/>
      <w:divBdr>
        <w:top w:val="none" w:sz="0" w:space="0" w:color="auto"/>
        <w:left w:val="none" w:sz="0" w:space="0" w:color="auto"/>
        <w:bottom w:val="none" w:sz="0" w:space="0" w:color="auto"/>
        <w:right w:val="none" w:sz="0" w:space="0" w:color="auto"/>
      </w:divBdr>
      <w:divsChild>
        <w:div w:id="1953585456">
          <w:marLeft w:val="1166"/>
          <w:marRight w:val="0"/>
          <w:marTop w:val="96"/>
          <w:marBottom w:val="0"/>
          <w:divBdr>
            <w:top w:val="none" w:sz="0" w:space="0" w:color="auto"/>
            <w:left w:val="none" w:sz="0" w:space="0" w:color="auto"/>
            <w:bottom w:val="none" w:sz="0" w:space="0" w:color="auto"/>
            <w:right w:val="none" w:sz="0" w:space="0" w:color="auto"/>
          </w:divBdr>
        </w:div>
      </w:divsChild>
    </w:div>
    <w:div w:id="1411075959">
      <w:bodyDiv w:val="1"/>
      <w:marLeft w:val="0"/>
      <w:marRight w:val="0"/>
      <w:marTop w:val="0"/>
      <w:marBottom w:val="0"/>
      <w:divBdr>
        <w:top w:val="none" w:sz="0" w:space="0" w:color="auto"/>
        <w:left w:val="none" w:sz="0" w:space="0" w:color="auto"/>
        <w:bottom w:val="none" w:sz="0" w:space="0" w:color="auto"/>
        <w:right w:val="none" w:sz="0" w:space="0" w:color="auto"/>
      </w:divBdr>
    </w:div>
    <w:div w:id="1625578739">
      <w:bodyDiv w:val="1"/>
      <w:marLeft w:val="0"/>
      <w:marRight w:val="0"/>
      <w:marTop w:val="0"/>
      <w:marBottom w:val="0"/>
      <w:divBdr>
        <w:top w:val="none" w:sz="0" w:space="0" w:color="auto"/>
        <w:left w:val="none" w:sz="0" w:space="0" w:color="auto"/>
        <w:bottom w:val="none" w:sz="0" w:space="0" w:color="auto"/>
        <w:right w:val="none" w:sz="0" w:space="0" w:color="auto"/>
      </w:divBdr>
    </w:div>
    <w:div w:id="1652173819">
      <w:bodyDiv w:val="1"/>
      <w:marLeft w:val="0"/>
      <w:marRight w:val="0"/>
      <w:marTop w:val="0"/>
      <w:marBottom w:val="0"/>
      <w:divBdr>
        <w:top w:val="none" w:sz="0" w:space="0" w:color="auto"/>
        <w:left w:val="none" w:sz="0" w:space="0" w:color="auto"/>
        <w:bottom w:val="none" w:sz="0" w:space="0" w:color="auto"/>
        <w:right w:val="none" w:sz="0" w:space="0" w:color="auto"/>
      </w:divBdr>
    </w:div>
    <w:div w:id="1685327457">
      <w:bodyDiv w:val="1"/>
      <w:marLeft w:val="0"/>
      <w:marRight w:val="0"/>
      <w:marTop w:val="0"/>
      <w:marBottom w:val="0"/>
      <w:divBdr>
        <w:top w:val="none" w:sz="0" w:space="0" w:color="auto"/>
        <w:left w:val="none" w:sz="0" w:space="0" w:color="auto"/>
        <w:bottom w:val="none" w:sz="0" w:space="0" w:color="auto"/>
        <w:right w:val="none" w:sz="0" w:space="0" w:color="auto"/>
      </w:divBdr>
      <w:divsChild>
        <w:div w:id="1899852554">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1921</Words>
  <Characters>10951</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2014-03-25T08:43:00Z</cp:lastPrinted>
  <dcterms:created xsi:type="dcterms:W3CDTF">2014-03-27T11:33:00Z</dcterms:created>
  <dcterms:modified xsi:type="dcterms:W3CDTF">2014-03-27T11:33:00Z</dcterms:modified>
</cp:coreProperties>
</file>