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A167B" w14:textId="77777777" w:rsidR="00281304" w:rsidRDefault="00281304" w:rsidP="00281304">
      <w:pPr>
        <w:tabs>
          <w:tab w:val="left" w:pos="1701"/>
        </w:tabs>
        <w:rPr>
          <w:rFonts w:cs="Times New Roman"/>
          <w:noProof/>
          <w:lang w:eastAsia="sl-SI"/>
        </w:rPr>
        <w:sectPr w:rsidR="00281304" w:rsidSect="00281304">
          <w:headerReference w:type="default" r:id="rId8"/>
          <w:headerReference w:type="first" r:id="rId9"/>
          <w:footerReference w:type="first" r:id="rId10"/>
          <w:type w:val="continuous"/>
          <w:pgSz w:w="11906" w:h="16838"/>
          <w:pgMar w:top="1417" w:right="1417" w:bottom="1417" w:left="1417" w:header="708" w:footer="255" w:gutter="0"/>
          <w:pgNumType w:start="1"/>
          <w:cols w:space="708"/>
          <w:formProt w:val="0"/>
          <w:titlePg/>
          <w:docGrid w:linePitch="360"/>
        </w:sectPr>
      </w:pPr>
    </w:p>
    <w:p w14:paraId="7D7A1694" w14:textId="4F853CB1" w:rsidR="00446BE6" w:rsidRPr="00300795" w:rsidRDefault="00446BE6" w:rsidP="00E01EED">
      <w:pPr>
        <w:framePr w:w="4140" w:h="1151" w:hSpace="142" w:wrap="around" w:vAnchor="page" w:hAnchor="page" w:x="5739" w:y="1621" w:anchorLock="1"/>
        <w:spacing w:after="0" w:line="240" w:lineRule="auto"/>
        <w:rPr>
          <w:rFonts w:eastAsia="Times New Roman"/>
          <w:noProof/>
          <w:szCs w:val="20"/>
          <w:lang w:val="en-US" w:eastAsia="sl-SI"/>
        </w:rPr>
      </w:pPr>
    </w:p>
    <w:tbl>
      <w:tblPr>
        <w:tblStyle w:val="Tabelamrea"/>
        <w:tblW w:w="10799" w:type="dxa"/>
        <w:jc w:val="center"/>
        <w:tblBorders>
          <w:top w:val="none" w:sz="0" w:space="0" w:color="auto"/>
          <w:left w:val="none" w:sz="0" w:space="0" w:color="auto"/>
          <w:bottom w:val="single" w:sz="12" w:space="0" w:color="00B050"/>
          <w:right w:val="none" w:sz="0" w:space="0" w:color="auto"/>
          <w:insideH w:val="none" w:sz="0" w:space="0" w:color="auto"/>
          <w:insideV w:val="none" w:sz="0" w:space="0" w:color="auto"/>
        </w:tblBorders>
        <w:tblLook w:val="0600" w:firstRow="0" w:lastRow="0" w:firstColumn="0" w:lastColumn="0" w:noHBand="1" w:noVBand="1"/>
      </w:tblPr>
      <w:tblGrid>
        <w:gridCol w:w="10799"/>
      </w:tblGrid>
      <w:tr w:rsidR="0006141D" w:rsidRPr="007A5021" w14:paraId="0FCC6569" w14:textId="77777777" w:rsidTr="00F54BA2">
        <w:trPr>
          <w:trHeight w:val="80"/>
          <w:jc w:val="center"/>
        </w:trPr>
        <w:tc>
          <w:tcPr>
            <w:tcW w:w="10799" w:type="dxa"/>
            <w:vAlign w:val="center"/>
          </w:tcPr>
          <w:p w14:paraId="2DD14D5C" w14:textId="77777777" w:rsidR="0006141D" w:rsidRDefault="0006141D" w:rsidP="00F54BA2">
            <w:pPr>
              <w:rPr>
                <w:rFonts w:cs="Times New Roman"/>
                <w:b/>
                <w:sz w:val="12"/>
                <w:szCs w:val="24"/>
              </w:rPr>
            </w:pPr>
          </w:p>
          <w:p w14:paraId="51918B2D" w14:textId="77777777" w:rsidR="0006141D" w:rsidRDefault="0006141D" w:rsidP="00F54BA2">
            <w:pPr>
              <w:rPr>
                <w:rFonts w:cs="Times New Roman"/>
                <w:b/>
                <w:sz w:val="12"/>
                <w:szCs w:val="24"/>
              </w:rPr>
            </w:pPr>
          </w:p>
          <w:p w14:paraId="5795257F" w14:textId="77777777" w:rsidR="0006141D" w:rsidRPr="007A5021" w:rsidRDefault="0006141D" w:rsidP="00F54BA2">
            <w:pPr>
              <w:rPr>
                <w:rFonts w:cs="Times New Roman"/>
                <w:b/>
                <w:sz w:val="12"/>
                <w:szCs w:val="24"/>
              </w:rPr>
            </w:pPr>
          </w:p>
        </w:tc>
      </w:tr>
    </w:tbl>
    <w:p w14:paraId="2F5B32AE" w14:textId="77777777" w:rsidR="0006141D" w:rsidRPr="006806F1" w:rsidRDefault="0006141D" w:rsidP="0006141D">
      <w:pPr>
        <w:tabs>
          <w:tab w:val="left" w:pos="-1980"/>
          <w:tab w:val="left" w:pos="900"/>
          <w:tab w:val="left" w:pos="3060"/>
          <w:tab w:val="left" w:pos="3794"/>
        </w:tabs>
        <w:spacing w:after="0" w:line="192" w:lineRule="auto"/>
        <w:rPr>
          <w:rFonts w:cs="Times New Roman"/>
          <w:sz w:val="4"/>
          <w:szCs w:val="4"/>
        </w:rPr>
      </w:pPr>
    </w:p>
    <w:tbl>
      <w:tblPr>
        <w:tblStyle w:val="Tabelamrea"/>
        <w:tblW w:w="10769" w:type="dxa"/>
        <w:jc w:val="center"/>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600" w:firstRow="0" w:lastRow="0" w:firstColumn="0" w:lastColumn="0" w:noHBand="1" w:noVBand="1"/>
      </w:tblPr>
      <w:tblGrid>
        <w:gridCol w:w="10769"/>
      </w:tblGrid>
      <w:tr w:rsidR="0006141D" w:rsidRPr="00363F28" w14:paraId="0D613C5E" w14:textId="77777777" w:rsidTr="00F54BA2">
        <w:trPr>
          <w:trHeight w:val="555"/>
          <w:jc w:val="center"/>
        </w:trPr>
        <w:sdt>
          <w:sdtPr>
            <w:rPr>
              <w:b/>
              <w:sz w:val="28"/>
              <w:szCs w:val="28"/>
            </w:rPr>
            <w:alias w:val="Naslov"/>
            <w:tag w:val=""/>
            <w:id w:val="1420838494"/>
            <w:placeholder>
              <w:docPart w:val="D3FCB6054A404A4697154F770D5F7B6B"/>
            </w:placeholder>
            <w:dataBinding w:prefixMappings="xmlns:ns0='http://purl.org/dc/elements/1.1/' xmlns:ns1='http://schemas.openxmlformats.org/package/2006/metadata/core-properties' " w:xpath="/ns1:coreProperties[1]/ns0:title[1]" w:storeItemID="{6C3C8BC8-F283-45AE-878A-BAB7291924A1}"/>
            <w:text/>
          </w:sdtPr>
          <w:sdtEndPr/>
          <w:sdtContent>
            <w:tc>
              <w:tcPr>
                <w:tcW w:w="10769" w:type="dxa"/>
                <w:vAlign w:val="center"/>
              </w:tcPr>
              <w:p w14:paraId="58B40644" w14:textId="173F9E94" w:rsidR="0006141D" w:rsidRPr="00363F28" w:rsidRDefault="007944AE" w:rsidP="00C36554">
                <w:pPr>
                  <w:jc w:val="center"/>
                  <w:rPr>
                    <w:rFonts w:cs="Times New Roman"/>
                    <w:b/>
                    <w:sz w:val="24"/>
                    <w:szCs w:val="24"/>
                  </w:rPr>
                </w:pPr>
                <w:r w:rsidRPr="007944AE">
                  <w:rPr>
                    <w:b/>
                    <w:sz w:val="28"/>
                    <w:szCs w:val="28"/>
                  </w:rPr>
                  <w:t>Obveznosti uporabnikov storitev zbiranja komunalnih odpadkov</w:t>
                </w:r>
              </w:p>
            </w:tc>
          </w:sdtContent>
        </w:sdt>
      </w:tr>
    </w:tbl>
    <w:p w14:paraId="5421617E" w14:textId="77777777" w:rsidR="007944AE" w:rsidRDefault="007944AE" w:rsidP="00A53F7B"/>
    <w:p w14:paraId="5EECB581" w14:textId="77777777" w:rsidR="007944AE" w:rsidRDefault="007944AE" w:rsidP="006F3F26">
      <w:pPr>
        <w:jc w:val="both"/>
        <w:rPr>
          <w:sz w:val="24"/>
          <w:szCs w:val="24"/>
        </w:rPr>
      </w:pPr>
      <w:r w:rsidRPr="007944AE">
        <w:rPr>
          <w:b/>
          <w:sz w:val="24"/>
          <w:szCs w:val="24"/>
        </w:rPr>
        <w:t xml:space="preserve">Vključenost v sistem zbiranja in odvoza odpadkov </w:t>
      </w:r>
      <w:r w:rsidRPr="007944AE">
        <w:rPr>
          <w:sz w:val="24"/>
          <w:szCs w:val="24"/>
        </w:rPr>
        <w:t xml:space="preserve">uporabnikom nalagajo občinski odloki, hkrati pa smo na </w:t>
      </w:r>
      <w:r>
        <w:rPr>
          <w:sz w:val="24"/>
          <w:szCs w:val="24"/>
        </w:rPr>
        <w:t xml:space="preserve">Voka </w:t>
      </w:r>
      <w:r w:rsidRPr="007944AE">
        <w:rPr>
          <w:sz w:val="24"/>
          <w:szCs w:val="24"/>
        </w:rPr>
        <w:t xml:space="preserve">Snagi dolžni poskrbeti za vse uporabnike in preprečiti, da bi določeni uporabniki plačevali več, ker nekateri občani bodisi zaradi nepoznavanja bodisi načrtno ne izpolnjujejo svojih obveznosti. </w:t>
      </w:r>
    </w:p>
    <w:p w14:paraId="3640A785" w14:textId="61F1833C" w:rsidR="007944AE" w:rsidRDefault="007944AE" w:rsidP="006F3F26">
      <w:pPr>
        <w:jc w:val="both"/>
        <w:rPr>
          <w:sz w:val="24"/>
          <w:szCs w:val="24"/>
        </w:rPr>
      </w:pPr>
      <w:r w:rsidRPr="007944AE">
        <w:rPr>
          <w:b/>
          <w:sz w:val="24"/>
          <w:szCs w:val="24"/>
        </w:rPr>
        <w:t xml:space="preserve">Zabojniki morajo stati na </w:t>
      </w:r>
      <w:r>
        <w:rPr>
          <w:b/>
          <w:sz w:val="24"/>
          <w:szCs w:val="24"/>
        </w:rPr>
        <w:t xml:space="preserve">zasebni površini (zbirno mesto). </w:t>
      </w:r>
      <w:r w:rsidRPr="007944AE">
        <w:rPr>
          <w:sz w:val="24"/>
          <w:szCs w:val="24"/>
        </w:rPr>
        <w:t xml:space="preserve">Odpadek je vedno odgovornost povzročitelja (čigar obveznost je tudi, da odpadke odlaga v ustrezne zabojnike, torej da odpadke ločuje) in </w:t>
      </w:r>
      <w:r w:rsidRPr="007944AE">
        <w:rPr>
          <w:b/>
          <w:sz w:val="24"/>
          <w:szCs w:val="24"/>
        </w:rPr>
        <w:t>za vse uporabnike Voka Snaginih storitev velja, da morajo svoje zabojnike postaviti na zasebno površino (zbirno mesto) in z njimi ne obremenjevati javnih površin.</w:t>
      </w:r>
      <w:r w:rsidRPr="007944AE">
        <w:rPr>
          <w:sz w:val="24"/>
          <w:szCs w:val="24"/>
        </w:rPr>
        <w:t xml:space="preserve"> Uporabnike prosimo, da zabojnike na dan odvoza pripravijo na prevzemno mesto (to je praviloma najbližja javna površina, ki </w:t>
      </w:r>
      <w:r w:rsidR="00F072A8">
        <w:rPr>
          <w:sz w:val="24"/>
          <w:szCs w:val="24"/>
        </w:rPr>
        <w:t xml:space="preserve">Voka </w:t>
      </w:r>
      <w:r w:rsidRPr="007944AE">
        <w:rPr>
          <w:sz w:val="24"/>
          <w:szCs w:val="24"/>
        </w:rPr>
        <w:t xml:space="preserve">Snagi omogoča prevzem in odvoz odpadkov) in jih po praznjenju čim prej odpeljejo nazaj na zbirno mesto (če zbirno in prevzemno mesto nista na istem mestu). </w:t>
      </w:r>
    </w:p>
    <w:p w14:paraId="54A7A11F" w14:textId="7EE7B7C7" w:rsidR="007944AE" w:rsidRDefault="007944AE" w:rsidP="006F3F26">
      <w:pPr>
        <w:jc w:val="both"/>
        <w:rPr>
          <w:sz w:val="24"/>
          <w:szCs w:val="24"/>
        </w:rPr>
      </w:pPr>
      <w:r w:rsidRPr="007944AE">
        <w:rPr>
          <w:b/>
          <w:sz w:val="24"/>
          <w:szCs w:val="24"/>
        </w:rPr>
        <w:t>Zagotavljanje prostora za postavitev zabojnikov</w:t>
      </w:r>
      <w:r w:rsidRPr="007944AE">
        <w:rPr>
          <w:sz w:val="24"/>
          <w:szCs w:val="24"/>
        </w:rPr>
        <w:t xml:space="preserve"> je v domeni uporabnikov, ne pa </w:t>
      </w:r>
      <w:r>
        <w:rPr>
          <w:sz w:val="24"/>
          <w:szCs w:val="24"/>
        </w:rPr>
        <w:t xml:space="preserve">Voka </w:t>
      </w:r>
      <w:r w:rsidRPr="007944AE">
        <w:rPr>
          <w:sz w:val="24"/>
          <w:szCs w:val="24"/>
        </w:rPr>
        <w:t xml:space="preserve">Snage ali </w:t>
      </w:r>
      <w:r w:rsidR="00F072A8">
        <w:rPr>
          <w:sz w:val="24"/>
          <w:szCs w:val="24"/>
        </w:rPr>
        <w:t>občine</w:t>
      </w:r>
      <w:r w:rsidRPr="007944AE">
        <w:rPr>
          <w:sz w:val="24"/>
          <w:szCs w:val="24"/>
        </w:rPr>
        <w:t xml:space="preserve">. Izjema so zbiralnice (eko otoki), ki stojijo na javni površini. Poleg tega </w:t>
      </w:r>
      <w:r>
        <w:rPr>
          <w:sz w:val="24"/>
          <w:szCs w:val="24"/>
        </w:rPr>
        <w:t xml:space="preserve">Voka </w:t>
      </w:r>
      <w:r w:rsidRPr="007944AE">
        <w:rPr>
          <w:sz w:val="24"/>
          <w:szCs w:val="24"/>
        </w:rPr>
        <w:t xml:space="preserve">Snaga nima ne dolžnosti ne pristojnosti prevzemanja zabojnikov z dvorišč in drugih zasebnih površin. </w:t>
      </w:r>
    </w:p>
    <w:p w14:paraId="65AB75FB" w14:textId="6AC174C5" w:rsidR="007944AE" w:rsidRDefault="007944AE" w:rsidP="006F3F26">
      <w:pPr>
        <w:jc w:val="both"/>
        <w:rPr>
          <w:sz w:val="24"/>
          <w:szCs w:val="24"/>
        </w:rPr>
      </w:pPr>
      <w:r w:rsidRPr="007944AE">
        <w:rPr>
          <w:sz w:val="24"/>
          <w:szCs w:val="24"/>
        </w:rPr>
        <w:t xml:space="preserve">Obveznost uporabnikov je, da </w:t>
      </w:r>
      <w:r w:rsidRPr="007944AE">
        <w:rPr>
          <w:b/>
          <w:sz w:val="24"/>
          <w:szCs w:val="24"/>
        </w:rPr>
        <w:t>na dan odvoza pripravijo ustrezne zabojnike na prevzemno mesto,</w:t>
      </w:r>
      <w:r w:rsidRPr="007944AE">
        <w:rPr>
          <w:sz w:val="24"/>
          <w:szCs w:val="24"/>
        </w:rPr>
        <w:t xml:space="preserve"> ko pa jih </w:t>
      </w:r>
      <w:r w:rsidR="00F072A8">
        <w:rPr>
          <w:sz w:val="24"/>
          <w:szCs w:val="24"/>
        </w:rPr>
        <w:t xml:space="preserve">Voka </w:t>
      </w:r>
      <w:r w:rsidRPr="007944AE">
        <w:rPr>
          <w:sz w:val="24"/>
          <w:szCs w:val="24"/>
        </w:rPr>
        <w:t xml:space="preserve">Snagini zaposleni izpraznijo, jih uporabniki sami pospravijo na zbirno mesto. </w:t>
      </w:r>
    </w:p>
    <w:p w14:paraId="30E9CEE0" w14:textId="77777777" w:rsidR="007944AE" w:rsidRDefault="007944AE" w:rsidP="006F3F26">
      <w:pPr>
        <w:jc w:val="both"/>
        <w:rPr>
          <w:sz w:val="24"/>
          <w:szCs w:val="24"/>
        </w:rPr>
      </w:pPr>
      <w:r w:rsidRPr="007944AE">
        <w:rPr>
          <w:sz w:val="24"/>
          <w:szCs w:val="24"/>
        </w:rPr>
        <w:t xml:space="preserve">Prav tako morajo uporabniki </w:t>
      </w:r>
      <w:r w:rsidRPr="007944AE">
        <w:rPr>
          <w:b/>
          <w:sz w:val="24"/>
          <w:szCs w:val="24"/>
        </w:rPr>
        <w:t>sami sporočiti vse spremembe</w:t>
      </w:r>
      <w:r w:rsidRPr="007944AE">
        <w:rPr>
          <w:sz w:val="24"/>
          <w:szCs w:val="24"/>
        </w:rPr>
        <w:t xml:space="preserve">, ki vplivajo na izvajanje in obračun storitve ravnanja z odpadki. </w:t>
      </w:r>
    </w:p>
    <w:p w14:paraId="530B5F96" w14:textId="4DA5294B" w:rsidR="007944AE" w:rsidRDefault="007944AE" w:rsidP="006F3F26">
      <w:pPr>
        <w:jc w:val="both"/>
        <w:rPr>
          <w:sz w:val="24"/>
          <w:szCs w:val="24"/>
        </w:rPr>
      </w:pPr>
      <w:r w:rsidRPr="007944AE">
        <w:rPr>
          <w:b/>
          <w:sz w:val="24"/>
          <w:szCs w:val="24"/>
        </w:rPr>
        <w:t>Uporabniki so dolžni ločevati odpadke</w:t>
      </w:r>
      <w:r w:rsidRPr="007944AE">
        <w:rPr>
          <w:sz w:val="24"/>
          <w:szCs w:val="24"/>
        </w:rPr>
        <w:t xml:space="preserve">, saj je ena od uporabnikovih obveznosti, da posamezno vrsto odpadka odloži v ustrezen zabojnik. Med prepovedmi </w:t>
      </w:r>
      <w:r w:rsidR="00F072A8">
        <w:rPr>
          <w:sz w:val="24"/>
          <w:szCs w:val="24"/>
        </w:rPr>
        <w:t>je mešanje različnih frakcij</w:t>
      </w:r>
      <w:r w:rsidR="00F072A8" w:rsidRPr="00F072A8">
        <w:rPr>
          <w:sz w:val="24"/>
          <w:szCs w:val="24"/>
        </w:rPr>
        <w:t xml:space="preserve"> komunalnih odpadkov med seboj</w:t>
      </w:r>
      <w:r w:rsidR="00F072A8">
        <w:rPr>
          <w:sz w:val="24"/>
          <w:szCs w:val="24"/>
        </w:rPr>
        <w:t xml:space="preserve"> (na primer </w:t>
      </w:r>
      <w:r w:rsidRPr="007944AE">
        <w:rPr>
          <w:sz w:val="24"/>
          <w:szCs w:val="24"/>
        </w:rPr>
        <w:t>mešanj</w:t>
      </w:r>
      <w:r w:rsidR="00F072A8">
        <w:rPr>
          <w:sz w:val="24"/>
          <w:szCs w:val="24"/>
        </w:rPr>
        <w:t>e</w:t>
      </w:r>
      <w:r w:rsidRPr="007944AE">
        <w:rPr>
          <w:sz w:val="24"/>
          <w:szCs w:val="24"/>
        </w:rPr>
        <w:t xml:space="preserve"> bioloških odpadkov z drugimi komunalnimi odpadki </w:t>
      </w:r>
      <w:r w:rsidR="00F072A8">
        <w:rPr>
          <w:sz w:val="24"/>
          <w:szCs w:val="24"/>
        </w:rPr>
        <w:t>ali pa</w:t>
      </w:r>
      <w:r w:rsidRPr="007944AE">
        <w:rPr>
          <w:sz w:val="24"/>
          <w:szCs w:val="24"/>
        </w:rPr>
        <w:t xml:space="preserve"> </w:t>
      </w:r>
      <w:r w:rsidR="00F072A8">
        <w:rPr>
          <w:sz w:val="24"/>
          <w:szCs w:val="24"/>
        </w:rPr>
        <w:t>odlaganje</w:t>
      </w:r>
      <w:r w:rsidRPr="007944AE">
        <w:rPr>
          <w:sz w:val="24"/>
          <w:szCs w:val="24"/>
        </w:rPr>
        <w:t xml:space="preserve"> ločenih frakcij (papir, embalaža, steklo) v zabojnike za preostanek odpadkov</w:t>
      </w:r>
      <w:r w:rsidR="00F072A8">
        <w:rPr>
          <w:sz w:val="24"/>
          <w:szCs w:val="24"/>
        </w:rPr>
        <w:t>)</w:t>
      </w:r>
      <w:r w:rsidRPr="007944AE">
        <w:rPr>
          <w:sz w:val="24"/>
          <w:szCs w:val="24"/>
        </w:rPr>
        <w:t xml:space="preserve">. </w:t>
      </w:r>
    </w:p>
    <w:p w14:paraId="0C2B0D1E" w14:textId="77777777" w:rsidR="007944AE" w:rsidRDefault="007944AE" w:rsidP="006F3F26">
      <w:pPr>
        <w:jc w:val="both"/>
        <w:rPr>
          <w:sz w:val="24"/>
          <w:szCs w:val="24"/>
        </w:rPr>
      </w:pPr>
      <w:r w:rsidRPr="007944AE">
        <w:rPr>
          <w:b/>
          <w:sz w:val="24"/>
          <w:szCs w:val="24"/>
        </w:rPr>
        <w:t>Velikost zabojnikov za uporabnike določa Voka Snaga</w:t>
      </w:r>
      <w:r w:rsidRPr="007944AE">
        <w:rPr>
          <w:sz w:val="24"/>
          <w:szCs w:val="24"/>
        </w:rPr>
        <w:t xml:space="preserve">. Pri tem upošteva naslednje količine na osebo na mesec: 30 litrov za preostanek odpadkov, 60 litrov za embalažo, 20 litrov za papir, 10 litrov za steklo in 15 litrov za biološke odpadke. Poleg teh parametrov </w:t>
      </w:r>
      <w:r>
        <w:rPr>
          <w:sz w:val="24"/>
          <w:szCs w:val="24"/>
        </w:rPr>
        <w:t xml:space="preserve">Voka </w:t>
      </w:r>
      <w:r w:rsidRPr="007944AE">
        <w:rPr>
          <w:sz w:val="24"/>
          <w:szCs w:val="24"/>
        </w:rPr>
        <w:t xml:space="preserve">Snaga upošteva tudi pogostnost odvoza odpadkov pri posameznem uporabniku. </w:t>
      </w:r>
    </w:p>
    <w:p w14:paraId="6E885038" w14:textId="77777777" w:rsidR="007944AE" w:rsidRDefault="007944AE" w:rsidP="006F3F26">
      <w:pPr>
        <w:jc w:val="both"/>
        <w:rPr>
          <w:sz w:val="24"/>
          <w:szCs w:val="24"/>
        </w:rPr>
      </w:pPr>
      <w:r w:rsidRPr="007944AE">
        <w:rPr>
          <w:b/>
          <w:sz w:val="24"/>
          <w:szCs w:val="24"/>
        </w:rPr>
        <w:lastRenderedPageBreak/>
        <w:t>Kaj se zgodi, če uporabniki zaradi prenapolnjenosti zabojnika ne morejo zapreti pokrova oziroma vreče z odpadki odlagajo kar poleg zabojnika?</w:t>
      </w:r>
      <w:r w:rsidRPr="007944AE">
        <w:rPr>
          <w:sz w:val="24"/>
          <w:szCs w:val="24"/>
        </w:rPr>
        <w:t xml:space="preserve"> </w:t>
      </w:r>
      <w:r>
        <w:rPr>
          <w:sz w:val="24"/>
          <w:szCs w:val="24"/>
        </w:rPr>
        <w:br/>
      </w:r>
      <w:r w:rsidRPr="007944AE">
        <w:rPr>
          <w:sz w:val="24"/>
          <w:szCs w:val="24"/>
        </w:rPr>
        <w:t xml:space="preserve">Če se ob zabojnikih večkrat pojavljajo dodatne vrečke ali pa je zabojnik večkrat zapored poln in z odprtim pokrovom, je to za </w:t>
      </w:r>
      <w:r>
        <w:rPr>
          <w:sz w:val="24"/>
          <w:szCs w:val="24"/>
        </w:rPr>
        <w:t xml:space="preserve">Voka </w:t>
      </w:r>
      <w:r w:rsidRPr="007944AE">
        <w:rPr>
          <w:sz w:val="24"/>
          <w:szCs w:val="24"/>
        </w:rPr>
        <w:t xml:space="preserve">Snagine zaposlene znak, da velikost oziroma prostornina zabojnika ne zadostuje potrebam uporabnikov. Občinski odloki </w:t>
      </w:r>
      <w:r>
        <w:rPr>
          <w:sz w:val="24"/>
          <w:szCs w:val="24"/>
        </w:rPr>
        <w:t xml:space="preserve">Voka </w:t>
      </w:r>
      <w:r w:rsidRPr="007944AE">
        <w:rPr>
          <w:sz w:val="24"/>
          <w:szCs w:val="24"/>
        </w:rPr>
        <w:t xml:space="preserve">Snago obvezujejo, da v takšnih primerih zabojnik zamenja z večjim brez predhodnega soglasja uporabnika. Pri tem je treba upoštevati, da na ceno, ki jo uporabniki plačajo za storitve, vpliva tudi velikost oz. prostornina zabojnika, tako da se s povečanjem prostornine poviša tudi znesek na položnici. Če imajo uporabniki le občasno večjo količino odpadkov, jih lahko odložijo poleg zabojnika v tipiziranih vrečkah. </w:t>
      </w:r>
    </w:p>
    <w:p w14:paraId="68483B78" w14:textId="4E8CD7AC" w:rsidR="00501E6F" w:rsidRDefault="007944AE" w:rsidP="006F3F26">
      <w:pPr>
        <w:jc w:val="both"/>
        <w:rPr>
          <w:sz w:val="24"/>
          <w:szCs w:val="24"/>
        </w:rPr>
      </w:pPr>
      <w:r w:rsidRPr="007944AE">
        <w:rPr>
          <w:b/>
          <w:sz w:val="24"/>
          <w:szCs w:val="24"/>
        </w:rPr>
        <w:t>Uporabniki so dolžni poskrbeti za čista in urejena zbirna ter prevzemna mesta.</w:t>
      </w:r>
      <w:r w:rsidRPr="007944AE">
        <w:rPr>
          <w:sz w:val="24"/>
          <w:szCs w:val="24"/>
        </w:rPr>
        <w:t xml:space="preserve"> Ponekod se stanovalci v večstanovanjskih stavbah soočajo s problemom, ko odpadke v njihove zabojnike oziroma poleg njih odlagajo neznanci. Občanom svetujemo, da zabojnike postavijo v smetarnico oziroma jih namestijo tako, da bodo do njih lahko dostopali samo uporabniki, v nobenem primeru pa za reševanje takšnih zadev ni pristojna </w:t>
      </w:r>
      <w:r>
        <w:rPr>
          <w:sz w:val="24"/>
          <w:szCs w:val="24"/>
        </w:rPr>
        <w:t xml:space="preserve">Voka </w:t>
      </w:r>
      <w:r w:rsidRPr="007944AE">
        <w:rPr>
          <w:sz w:val="24"/>
          <w:szCs w:val="24"/>
        </w:rPr>
        <w:t xml:space="preserve">Snaga. </w:t>
      </w:r>
    </w:p>
    <w:p w14:paraId="0C3ABC00" w14:textId="12CA713F" w:rsidR="00501E6F" w:rsidRDefault="00501E6F" w:rsidP="006F3F26">
      <w:pPr>
        <w:jc w:val="both"/>
        <w:rPr>
          <w:sz w:val="24"/>
          <w:szCs w:val="24"/>
        </w:rPr>
      </w:pPr>
      <w:r w:rsidRPr="00501E6F">
        <w:rPr>
          <w:b/>
          <w:sz w:val="24"/>
          <w:szCs w:val="24"/>
        </w:rPr>
        <w:t>Kosovni odpadki ne sodijo v ali ob klasične zabojnike. Zanje je treba naročiti odvoz</w:t>
      </w:r>
      <w:r>
        <w:rPr>
          <w:sz w:val="24"/>
          <w:szCs w:val="24"/>
        </w:rPr>
        <w:t xml:space="preserve">. To storite tako, da izpolnite naročilnico </w:t>
      </w:r>
      <w:r w:rsidR="005A71A2">
        <w:rPr>
          <w:sz w:val="24"/>
          <w:szCs w:val="24"/>
        </w:rPr>
        <w:t xml:space="preserve">na </w:t>
      </w:r>
      <w:r>
        <w:rPr>
          <w:sz w:val="24"/>
          <w:szCs w:val="24"/>
        </w:rPr>
        <w:t>spletni strani in počakat</w:t>
      </w:r>
      <w:r w:rsidR="005A71A2">
        <w:rPr>
          <w:sz w:val="24"/>
          <w:szCs w:val="24"/>
        </w:rPr>
        <w:t>e</w:t>
      </w:r>
      <w:r>
        <w:rPr>
          <w:sz w:val="24"/>
          <w:szCs w:val="24"/>
        </w:rPr>
        <w:t xml:space="preserve"> na klic, da se dogovorimo za datum o</w:t>
      </w:r>
      <w:r w:rsidR="005A71A2">
        <w:rPr>
          <w:sz w:val="24"/>
          <w:szCs w:val="24"/>
        </w:rPr>
        <w:t>dvoza. Pri tem je pomembno, da k</w:t>
      </w:r>
      <w:r>
        <w:rPr>
          <w:sz w:val="24"/>
          <w:szCs w:val="24"/>
        </w:rPr>
        <w:t>osovne odpadke pripravite dan prej, in sicer zvečer po 20. uri ali navsezgodaj zjutraj na dan odvoza. Odvoz kosovnih odpadkov je enkrat na leto brezplačen, uporabniki pa ga naročite, ko ga potrebujete.</w:t>
      </w:r>
    </w:p>
    <w:p w14:paraId="2CA94893" w14:textId="4E0980A3" w:rsidR="00A53F7B" w:rsidRPr="007944AE" w:rsidRDefault="007944AE" w:rsidP="006F3F26">
      <w:pPr>
        <w:jc w:val="both"/>
        <w:rPr>
          <w:sz w:val="24"/>
          <w:szCs w:val="24"/>
        </w:rPr>
      </w:pPr>
      <w:r w:rsidRPr="007944AE">
        <w:rPr>
          <w:b/>
          <w:sz w:val="24"/>
          <w:szCs w:val="24"/>
        </w:rPr>
        <w:t>Uporabniki morajo na dan odvoza odpadkov smetarskemu vozilu zagotoviti dostop do zabojnikov.</w:t>
      </w:r>
      <w:r w:rsidRPr="007944AE">
        <w:rPr>
          <w:sz w:val="24"/>
          <w:szCs w:val="24"/>
        </w:rPr>
        <w:t xml:space="preserve"> To </w:t>
      </w:r>
      <w:r>
        <w:rPr>
          <w:sz w:val="24"/>
          <w:szCs w:val="24"/>
        </w:rPr>
        <w:t xml:space="preserve">Voka </w:t>
      </w:r>
      <w:r w:rsidRPr="007944AE">
        <w:rPr>
          <w:sz w:val="24"/>
          <w:szCs w:val="24"/>
        </w:rPr>
        <w:t>Snaginim ekipam vsakodnevno onemogočajo nepravilno parkirani avtomobili, pozimi pa neočiščen sneg. Skrb uporabnikov je, da v zimskih razmerah poskrbijo za dostopnost zabojnikov in očistijo sneg ob in na zabojnikih. Tako uporabniki omogočijo praznjenje zabojnikov, obenem pa preprečij</w:t>
      </w:r>
      <w:r>
        <w:rPr>
          <w:sz w:val="24"/>
          <w:szCs w:val="24"/>
        </w:rPr>
        <w:t>o lomljenje njihovih pokrovov. Voka S</w:t>
      </w:r>
      <w:r w:rsidRPr="007944AE">
        <w:rPr>
          <w:sz w:val="24"/>
          <w:szCs w:val="24"/>
        </w:rPr>
        <w:t>nagini delavci imajo namreč zaradi zasneženih zabojnikov velike težave z dostopom in vlečenjem zabojnikov, ponekod pa zaradi neočiščenega snega zabojnikov sploh ni mogoče izprazniti.</w:t>
      </w:r>
    </w:p>
    <w:sectPr w:rsidR="00A53F7B" w:rsidRPr="007944AE" w:rsidSect="00170F2B">
      <w:type w:val="continuous"/>
      <w:pgSz w:w="11906" w:h="16838"/>
      <w:pgMar w:top="204" w:right="1417" w:bottom="1417" w:left="1134" w:header="708" w:footer="255"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5D81" w14:textId="77777777" w:rsidR="008529C9" w:rsidRDefault="008529C9" w:rsidP="005B4170">
      <w:pPr>
        <w:spacing w:after="0" w:line="240" w:lineRule="auto"/>
      </w:pPr>
      <w:r>
        <w:separator/>
      </w:r>
    </w:p>
    <w:p w14:paraId="3E771034" w14:textId="77777777" w:rsidR="008529C9" w:rsidRDefault="008529C9"/>
  </w:endnote>
  <w:endnote w:type="continuationSeparator" w:id="0">
    <w:p w14:paraId="655A2F72" w14:textId="77777777" w:rsidR="008529C9" w:rsidRDefault="008529C9" w:rsidP="005B4170">
      <w:pPr>
        <w:spacing w:after="0" w:line="240" w:lineRule="auto"/>
      </w:pPr>
      <w:r>
        <w:continuationSeparator/>
      </w:r>
    </w:p>
    <w:p w14:paraId="4FDB246B" w14:textId="77777777" w:rsidR="008529C9" w:rsidRDefault="00852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16AB" w14:textId="75178FE9" w:rsidR="00403D06" w:rsidRPr="00EE088D" w:rsidRDefault="00DC726E">
    <w:pPr>
      <w:pStyle w:val="Noga"/>
      <w:rPr>
        <w:rFonts w:cs="Times New Roman"/>
        <w:b/>
        <w:sz w:val="18"/>
        <w:szCs w:val="18"/>
      </w:rPr>
    </w:pPr>
    <w:r w:rsidRPr="00DC726E">
      <w:rPr>
        <w:rFonts w:cs="Times New Roman"/>
        <w:noProof/>
        <w:lang w:eastAsia="sl-SI"/>
      </w:rPr>
      <mc:AlternateContent>
        <mc:Choice Requires="wps">
          <w:drawing>
            <wp:anchor distT="0" distB="0" distL="114300" distR="114300" simplePos="0" relativeHeight="251662336" behindDoc="0" locked="0" layoutInCell="1" allowOverlap="1" wp14:anchorId="2D6988D2" wp14:editId="1ADDB822">
              <wp:simplePos x="0" y="0"/>
              <wp:positionH relativeFrom="column">
                <wp:posOffset>4034155</wp:posOffset>
              </wp:positionH>
              <wp:positionV relativeFrom="paragraph">
                <wp:posOffset>366395</wp:posOffset>
              </wp:positionV>
              <wp:extent cx="2038350" cy="49530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95300"/>
                      </a:xfrm>
                      <a:prstGeom prst="rect">
                        <a:avLst/>
                      </a:prstGeom>
                      <a:solidFill>
                        <a:srgbClr val="FFFFFF"/>
                      </a:solidFill>
                      <a:ln w="9525">
                        <a:noFill/>
                        <a:miter lim="800000"/>
                        <a:headEnd/>
                        <a:tailEnd/>
                      </a:ln>
                    </wps:spPr>
                    <wps:txbx>
                      <w:txbxContent>
                        <w:p w14:paraId="1AC89FD5" w14:textId="77777777" w:rsidR="00DC726E" w:rsidRPr="00DC726E" w:rsidRDefault="00DC726E" w:rsidP="00130AAF">
                          <w:pPr>
                            <w:tabs>
                              <w:tab w:val="left" w:pos="3420"/>
                              <w:tab w:val="right" w:pos="9072"/>
                            </w:tabs>
                            <w:spacing w:after="20" w:line="264" w:lineRule="auto"/>
                            <w:rPr>
                              <w:rFonts w:eastAsia="Times New Roman"/>
                              <w:color w:val="000000"/>
                              <w:sz w:val="14"/>
                              <w:szCs w:val="24"/>
                              <w:lang w:eastAsia="sl-SI"/>
                            </w:rPr>
                          </w:pPr>
                          <w:r w:rsidRPr="00DC726E">
                            <w:rPr>
                              <w:rFonts w:eastAsia="Times New Roman"/>
                              <w:color w:val="000000"/>
                              <w:sz w:val="14"/>
                              <w:szCs w:val="24"/>
                              <w:lang w:eastAsia="sl-SI"/>
                            </w:rPr>
                            <w:t>Registrirano pri Okrožnem Sodišču v Ljubljani,</w:t>
                          </w:r>
                        </w:p>
                        <w:p w14:paraId="1DA86A40" w14:textId="77777777" w:rsidR="00DC726E" w:rsidRPr="00DC726E" w:rsidRDefault="00DC726E" w:rsidP="00130AAF">
                          <w:pPr>
                            <w:tabs>
                              <w:tab w:val="left" w:pos="3420"/>
                              <w:tab w:val="right" w:pos="9072"/>
                            </w:tabs>
                            <w:spacing w:after="20" w:line="264" w:lineRule="auto"/>
                            <w:rPr>
                              <w:rFonts w:eastAsia="Times New Roman"/>
                              <w:color w:val="000000"/>
                              <w:sz w:val="14"/>
                              <w:szCs w:val="24"/>
                              <w:lang w:eastAsia="sl-SI"/>
                            </w:rPr>
                          </w:pPr>
                          <w:r w:rsidRPr="00DC726E">
                            <w:rPr>
                              <w:rFonts w:eastAsia="Times New Roman"/>
                              <w:color w:val="000000"/>
                              <w:sz w:val="14"/>
                              <w:szCs w:val="24"/>
                              <w:lang w:eastAsia="sl-SI"/>
                            </w:rPr>
                            <w:t>Vl. Št. 1/12273/00, ID št. SI64520463,</w:t>
                          </w:r>
                        </w:p>
                        <w:p w14:paraId="6100D1BF" w14:textId="2E52F8A6" w:rsidR="00DC726E" w:rsidRPr="00DC726E" w:rsidRDefault="00DC726E" w:rsidP="00130AAF">
                          <w:pPr>
                            <w:tabs>
                              <w:tab w:val="left" w:pos="3420"/>
                              <w:tab w:val="right" w:pos="9072"/>
                            </w:tabs>
                            <w:spacing w:after="20" w:line="264" w:lineRule="auto"/>
                            <w:rPr>
                              <w:sz w:val="24"/>
                            </w:rPr>
                          </w:pPr>
                          <w:r w:rsidRPr="00DC726E">
                            <w:rPr>
                              <w:rFonts w:eastAsia="Times New Roman"/>
                              <w:color w:val="000000"/>
                              <w:sz w:val="14"/>
                              <w:szCs w:val="24"/>
                              <w:lang w:eastAsia="sl-SI"/>
                            </w:rPr>
                            <w:t xml:space="preserve">Osnovni kapital </w:t>
                          </w:r>
                          <w:r w:rsidR="00BC4471" w:rsidRPr="00DC726E">
                            <w:rPr>
                              <w:rFonts w:eastAsia="Times New Roman"/>
                              <w:color w:val="000000"/>
                              <w:sz w:val="14"/>
                              <w:szCs w:val="24"/>
                              <w:lang w:eastAsia="sl-SI"/>
                            </w:rPr>
                            <w:t>9</w:t>
                          </w:r>
                          <w:r w:rsidR="00BC4471">
                            <w:rPr>
                              <w:rFonts w:eastAsia="Times New Roman"/>
                              <w:color w:val="000000"/>
                              <w:sz w:val="14"/>
                              <w:szCs w:val="24"/>
                              <w:lang w:eastAsia="sl-SI"/>
                            </w:rPr>
                            <w:t>6</w:t>
                          </w:r>
                          <w:r w:rsidR="00BC4471" w:rsidRPr="00DC726E">
                            <w:rPr>
                              <w:rFonts w:eastAsia="Times New Roman"/>
                              <w:color w:val="000000"/>
                              <w:sz w:val="14"/>
                              <w:szCs w:val="24"/>
                              <w:lang w:eastAsia="sl-SI"/>
                            </w:rPr>
                            <w:t>.5</w:t>
                          </w:r>
                          <w:r w:rsidR="00BC4471">
                            <w:rPr>
                              <w:rFonts w:eastAsia="Times New Roman"/>
                              <w:color w:val="000000"/>
                              <w:sz w:val="14"/>
                              <w:szCs w:val="24"/>
                              <w:lang w:eastAsia="sl-SI"/>
                            </w:rPr>
                            <w:t>91</w:t>
                          </w:r>
                          <w:r w:rsidR="00BC4471" w:rsidRPr="00DC726E">
                            <w:rPr>
                              <w:rFonts w:eastAsia="Times New Roman"/>
                              <w:color w:val="000000"/>
                              <w:sz w:val="14"/>
                              <w:szCs w:val="24"/>
                              <w:lang w:eastAsia="sl-SI"/>
                            </w:rPr>
                            <w:t>.</w:t>
                          </w:r>
                          <w:r w:rsidR="00BC4471">
                            <w:rPr>
                              <w:rFonts w:eastAsia="Times New Roman"/>
                              <w:color w:val="000000"/>
                              <w:sz w:val="14"/>
                              <w:szCs w:val="24"/>
                              <w:lang w:eastAsia="sl-SI"/>
                            </w:rPr>
                            <w:t>1</w:t>
                          </w:r>
                          <w:r w:rsidR="00BC4471" w:rsidRPr="00DC726E">
                            <w:rPr>
                              <w:rFonts w:eastAsia="Times New Roman"/>
                              <w:color w:val="000000"/>
                              <w:sz w:val="14"/>
                              <w:szCs w:val="24"/>
                              <w:lang w:eastAsia="sl-SI"/>
                            </w:rPr>
                            <w:t>5</w:t>
                          </w:r>
                          <w:r w:rsidR="00BC4471">
                            <w:rPr>
                              <w:rFonts w:eastAsia="Times New Roman"/>
                              <w:color w:val="000000"/>
                              <w:sz w:val="14"/>
                              <w:szCs w:val="24"/>
                              <w:lang w:eastAsia="sl-SI"/>
                            </w:rPr>
                            <w:t>6</w:t>
                          </w:r>
                          <w:r w:rsidR="00BC4471" w:rsidRPr="00DC726E">
                            <w:rPr>
                              <w:rFonts w:eastAsia="Times New Roman"/>
                              <w:color w:val="000000"/>
                              <w:sz w:val="14"/>
                              <w:szCs w:val="24"/>
                              <w:lang w:eastAsia="sl-SI"/>
                            </w:rPr>
                            <w:t>,</w:t>
                          </w:r>
                          <w:r w:rsidR="00BC4471">
                            <w:rPr>
                              <w:rFonts w:eastAsia="Times New Roman"/>
                              <w:color w:val="000000"/>
                              <w:sz w:val="14"/>
                              <w:szCs w:val="24"/>
                              <w:lang w:eastAsia="sl-SI"/>
                            </w:rPr>
                            <w:t>27</w:t>
                          </w:r>
                          <w:r w:rsidR="00BC4471" w:rsidRPr="00DC726E">
                            <w:rPr>
                              <w:rFonts w:eastAsia="Times New Roman"/>
                              <w:color w:val="000000"/>
                              <w:sz w:val="14"/>
                              <w:szCs w:val="24"/>
                              <w:lang w:eastAsia="sl-SI"/>
                            </w:rPr>
                            <w:t xml:space="preserve"> 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988D2" id="_x0000_t202" coordsize="21600,21600" o:spt="202" path="m,l,21600r21600,l21600,xe">
              <v:stroke joinstyle="miter"/>
              <v:path gradientshapeok="t" o:connecttype="rect"/>
            </v:shapetype>
            <v:shape id="Polje z besedilom 2" o:spid="_x0000_s1026" type="#_x0000_t202" style="position:absolute;margin-left:317.65pt;margin-top:28.85pt;width:160.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" stroked="f">
              <v:textbox>
                <w:txbxContent>
                  <w:p w14:paraId="1AC89FD5" w14:textId="77777777" w:rsidR="00DC726E" w:rsidRPr="00DC726E" w:rsidRDefault="00DC726E" w:rsidP="00130AAF">
                    <w:pPr>
                      <w:tabs>
                        <w:tab w:val="left" w:pos="3420"/>
                        <w:tab w:val="right" w:pos="9072"/>
                      </w:tabs>
                      <w:spacing w:after="20" w:line="264" w:lineRule="auto"/>
                      <w:rPr>
                        <w:rFonts w:eastAsia="Times New Roman"/>
                        <w:color w:val="000000"/>
                        <w:sz w:val="14"/>
                        <w:szCs w:val="24"/>
                        <w:lang w:eastAsia="sl-SI"/>
                      </w:rPr>
                    </w:pPr>
                    <w:r w:rsidRPr="00DC726E">
                      <w:rPr>
                        <w:rFonts w:eastAsia="Times New Roman"/>
                        <w:color w:val="000000"/>
                        <w:sz w:val="14"/>
                        <w:szCs w:val="24"/>
                        <w:lang w:eastAsia="sl-SI"/>
                      </w:rPr>
                      <w:t>Registrirano pri Okrožnem Sodišču v Ljubljani,</w:t>
                    </w:r>
                  </w:p>
                  <w:p w14:paraId="1DA86A40" w14:textId="77777777" w:rsidR="00DC726E" w:rsidRPr="00DC726E" w:rsidRDefault="00DC726E" w:rsidP="00130AAF">
                    <w:pPr>
                      <w:tabs>
                        <w:tab w:val="left" w:pos="3420"/>
                        <w:tab w:val="right" w:pos="9072"/>
                      </w:tabs>
                      <w:spacing w:after="20" w:line="264" w:lineRule="auto"/>
                      <w:rPr>
                        <w:rFonts w:eastAsia="Times New Roman"/>
                        <w:color w:val="000000"/>
                        <w:sz w:val="14"/>
                        <w:szCs w:val="24"/>
                        <w:lang w:eastAsia="sl-SI"/>
                      </w:rPr>
                    </w:pPr>
                    <w:r w:rsidRPr="00DC726E">
                      <w:rPr>
                        <w:rFonts w:eastAsia="Times New Roman"/>
                        <w:color w:val="000000"/>
                        <w:sz w:val="14"/>
                        <w:szCs w:val="24"/>
                        <w:lang w:eastAsia="sl-SI"/>
                      </w:rPr>
                      <w:t>Vl. Št. 1/12273/00, ID št. SI64520463,</w:t>
                    </w:r>
                  </w:p>
                  <w:p w14:paraId="6100D1BF" w14:textId="2E52F8A6" w:rsidR="00DC726E" w:rsidRPr="00DC726E" w:rsidRDefault="00DC726E" w:rsidP="00130AAF">
                    <w:pPr>
                      <w:tabs>
                        <w:tab w:val="left" w:pos="3420"/>
                        <w:tab w:val="right" w:pos="9072"/>
                      </w:tabs>
                      <w:spacing w:after="20" w:line="264" w:lineRule="auto"/>
                      <w:rPr>
                        <w:sz w:val="24"/>
                      </w:rPr>
                    </w:pPr>
                    <w:r w:rsidRPr="00DC726E">
                      <w:rPr>
                        <w:rFonts w:eastAsia="Times New Roman"/>
                        <w:color w:val="000000"/>
                        <w:sz w:val="14"/>
                        <w:szCs w:val="24"/>
                        <w:lang w:eastAsia="sl-SI"/>
                      </w:rPr>
                      <w:t xml:space="preserve">Osnovni kapital </w:t>
                    </w:r>
                    <w:r w:rsidR="00BC4471" w:rsidRPr="00DC726E">
                      <w:rPr>
                        <w:rFonts w:eastAsia="Times New Roman"/>
                        <w:color w:val="000000"/>
                        <w:sz w:val="14"/>
                        <w:szCs w:val="24"/>
                        <w:lang w:eastAsia="sl-SI"/>
                      </w:rPr>
                      <w:t>9</w:t>
                    </w:r>
                    <w:r w:rsidR="00BC4471">
                      <w:rPr>
                        <w:rFonts w:eastAsia="Times New Roman"/>
                        <w:color w:val="000000"/>
                        <w:sz w:val="14"/>
                        <w:szCs w:val="24"/>
                        <w:lang w:eastAsia="sl-SI"/>
                      </w:rPr>
                      <w:t>6</w:t>
                    </w:r>
                    <w:r w:rsidR="00BC4471" w:rsidRPr="00DC726E">
                      <w:rPr>
                        <w:rFonts w:eastAsia="Times New Roman"/>
                        <w:color w:val="000000"/>
                        <w:sz w:val="14"/>
                        <w:szCs w:val="24"/>
                        <w:lang w:eastAsia="sl-SI"/>
                      </w:rPr>
                      <w:t>.5</w:t>
                    </w:r>
                    <w:r w:rsidR="00BC4471">
                      <w:rPr>
                        <w:rFonts w:eastAsia="Times New Roman"/>
                        <w:color w:val="000000"/>
                        <w:sz w:val="14"/>
                        <w:szCs w:val="24"/>
                        <w:lang w:eastAsia="sl-SI"/>
                      </w:rPr>
                      <w:t>91</w:t>
                    </w:r>
                    <w:r w:rsidR="00BC4471" w:rsidRPr="00DC726E">
                      <w:rPr>
                        <w:rFonts w:eastAsia="Times New Roman"/>
                        <w:color w:val="000000"/>
                        <w:sz w:val="14"/>
                        <w:szCs w:val="24"/>
                        <w:lang w:eastAsia="sl-SI"/>
                      </w:rPr>
                      <w:t>.</w:t>
                    </w:r>
                    <w:r w:rsidR="00BC4471">
                      <w:rPr>
                        <w:rFonts w:eastAsia="Times New Roman"/>
                        <w:color w:val="000000"/>
                        <w:sz w:val="14"/>
                        <w:szCs w:val="24"/>
                        <w:lang w:eastAsia="sl-SI"/>
                      </w:rPr>
                      <w:t>1</w:t>
                    </w:r>
                    <w:r w:rsidR="00BC4471" w:rsidRPr="00DC726E">
                      <w:rPr>
                        <w:rFonts w:eastAsia="Times New Roman"/>
                        <w:color w:val="000000"/>
                        <w:sz w:val="14"/>
                        <w:szCs w:val="24"/>
                        <w:lang w:eastAsia="sl-SI"/>
                      </w:rPr>
                      <w:t>5</w:t>
                    </w:r>
                    <w:r w:rsidR="00BC4471">
                      <w:rPr>
                        <w:rFonts w:eastAsia="Times New Roman"/>
                        <w:color w:val="000000"/>
                        <w:sz w:val="14"/>
                        <w:szCs w:val="24"/>
                        <w:lang w:eastAsia="sl-SI"/>
                      </w:rPr>
                      <w:t>6</w:t>
                    </w:r>
                    <w:r w:rsidR="00BC4471" w:rsidRPr="00DC726E">
                      <w:rPr>
                        <w:rFonts w:eastAsia="Times New Roman"/>
                        <w:color w:val="000000"/>
                        <w:sz w:val="14"/>
                        <w:szCs w:val="24"/>
                        <w:lang w:eastAsia="sl-SI"/>
                      </w:rPr>
                      <w:t>,</w:t>
                    </w:r>
                    <w:r w:rsidR="00BC4471">
                      <w:rPr>
                        <w:rFonts w:eastAsia="Times New Roman"/>
                        <w:color w:val="000000"/>
                        <w:sz w:val="14"/>
                        <w:szCs w:val="24"/>
                        <w:lang w:eastAsia="sl-SI"/>
                      </w:rPr>
                      <w:t>27</w:t>
                    </w:r>
                    <w:r w:rsidR="00BC4471" w:rsidRPr="00DC726E">
                      <w:rPr>
                        <w:rFonts w:eastAsia="Times New Roman"/>
                        <w:color w:val="000000"/>
                        <w:sz w:val="14"/>
                        <w:szCs w:val="24"/>
                        <w:lang w:eastAsia="sl-SI"/>
                      </w:rPr>
                      <w:t xml:space="preserve"> EUR</w:t>
                    </w:r>
                  </w:p>
                </w:txbxContent>
              </v:textbox>
            </v:shape>
          </w:pict>
        </mc:Fallback>
      </mc:AlternateContent>
    </w:r>
    <w:r w:rsidR="00403D06">
      <w:rPr>
        <w:noProof/>
        <w:lang w:eastAsia="sl-SI"/>
      </w:rPr>
      <w:drawing>
        <wp:inline distT="0" distB="0" distL="0" distR="0" wp14:anchorId="7D7A16B4" wp14:editId="7D7A16B5">
          <wp:extent cx="529200" cy="352800"/>
          <wp:effectExtent l="0" t="0" r="4445" b="952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rsidR="00403D06" w:rsidRPr="009F0FF5">
      <w:rPr>
        <w:sz w:val="24"/>
        <w:szCs w:val="24"/>
      </w:rPr>
      <w:ptab w:relativeTo="margin" w:alignment="center" w:leader="none"/>
    </w:r>
    <w:r w:rsidR="00403D06" w:rsidRPr="00735BEC">
      <w:rPr>
        <w:rFonts w:cs="Times New Roman"/>
        <w:b/>
        <w:sz w:val="18"/>
        <w:szCs w:val="18"/>
      </w:rPr>
      <w:t xml:space="preserve"> </w:t>
    </w:r>
    <w:r w:rsidR="009A5ED7">
      <w:rPr>
        <w:rFonts w:cs="Times New Roman"/>
        <w:noProof/>
        <w:sz w:val="18"/>
        <w:szCs w:val="18"/>
        <w:lang w:eastAsia="sl-SI"/>
      </w:rPr>
      <w:drawing>
        <wp:inline distT="0" distB="0" distL="0" distR="0" wp14:anchorId="7D7A16B6" wp14:editId="7D7A16B7">
          <wp:extent cx="756000" cy="756000"/>
          <wp:effectExtent l="0" t="0" r="6350" b="635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polni certifikat.p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rsidRPr="00DC726E">
      <w:rPr>
        <w:rFonts w:cs="Times New Roman"/>
        <w:noProof/>
      </w:rPr>
      <w:t xml:space="preserve"> </w:t>
    </w:r>
    <w:r w:rsidR="00403D06" w:rsidRPr="004473A4">
      <w:rPr>
        <w:rFonts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CE886" w14:textId="77777777" w:rsidR="008529C9" w:rsidRDefault="008529C9" w:rsidP="005B4170">
      <w:pPr>
        <w:spacing w:after="0" w:line="240" w:lineRule="auto"/>
      </w:pPr>
      <w:r>
        <w:separator/>
      </w:r>
    </w:p>
    <w:p w14:paraId="46D12968" w14:textId="77777777" w:rsidR="008529C9" w:rsidRDefault="008529C9"/>
  </w:footnote>
  <w:footnote w:type="continuationSeparator" w:id="0">
    <w:p w14:paraId="4971296F" w14:textId="77777777" w:rsidR="008529C9" w:rsidRDefault="008529C9" w:rsidP="005B4170">
      <w:pPr>
        <w:spacing w:after="0" w:line="240" w:lineRule="auto"/>
      </w:pPr>
      <w:r>
        <w:continuationSeparator/>
      </w:r>
    </w:p>
    <w:p w14:paraId="154F60B7" w14:textId="77777777" w:rsidR="008529C9" w:rsidRDefault="008529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169F" w14:textId="77777777" w:rsidR="00E5659E" w:rsidRDefault="00E5659E" w:rsidP="00A46A9C">
    <w:pPr>
      <w:pStyle w:val="Glava"/>
      <w:ind w:left="-426"/>
      <w:jc w:val="right"/>
    </w:pPr>
    <w:r>
      <w:rPr>
        <w:noProof/>
        <w:lang w:eastAsia="sl-SI"/>
      </w:rPr>
      <w:drawing>
        <wp:anchor distT="0" distB="0" distL="114300" distR="114300" simplePos="0" relativeHeight="251654144" behindDoc="0" locked="0" layoutInCell="1" allowOverlap="1" wp14:anchorId="7D7A16AC" wp14:editId="416F7DC6">
          <wp:simplePos x="0" y="0"/>
          <wp:positionH relativeFrom="margin">
            <wp:posOffset>-419100</wp:posOffset>
          </wp:positionH>
          <wp:positionV relativeFrom="margin">
            <wp:posOffset>-977900</wp:posOffset>
          </wp:positionV>
          <wp:extent cx="300355" cy="449580"/>
          <wp:effectExtent l="0" t="0" r="4445" b="7620"/>
          <wp:wrapSquare wrapText="bothSides"/>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355" cy="449580"/>
                  </a:xfrm>
                  <a:prstGeom prst="rect">
                    <a:avLst/>
                  </a:prstGeom>
                </pic:spPr>
              </pic:pic>
            </a:graphicData>
          </a:graphic>
        </wp:anchor>
      </w:drawing>
    </w:r>
  </w:p>
  <w:p w14:paraId="7D7A16A0" w14:textId="77777777" w:rsidR="00E5659E" w:rsidRDefault="00E5659E" w:rsidP="00A46A9C">
    <w:pPr>
      <w:pStyle w:val="Glava"/>
      <w:ind w:left="-426"/>
      <w:jc w:val="right"/>
    </w:pPr>
  </w:p>
  <w:p w14:paraId="7D7A16A1" w14:textId="77777777" w:rsidR="00E5659E" w:rsidRDefault="00E5659E" w:rsidP="00A46A9C">
    <w:pPr>
      <w:pStyle w:val="Glava"/>
      <w:ind w:left="-426"/>
      <w:jc w:val="right"/>
    </w:pPr>
  </w:p>
  <w:p w14:paraId="7D7A16A2" w14:textId="77777777" w:rsidR="00E5659E" w:rsidRDefault="00E5659E" w:rsidP="00A46A9C">
    <w:pPr>
      <w:pStyle w:val="Glava"/>
      <w:ind w:left="-426"/>
      <w:jc w:val="right"/>
    </w:pPr>
  </w:p>
  <w:p w14:paraId="7D7A16A3" w14:textId="77777777" w:rsidR="00403D06" w:rsidRPr="005B4170" w:rsidRDefault="00403D06" w:rsidP="00A46A9C">
    <w:pPr>
      <w:pStyle w:val="Glava"/>
      <w:ind w:left="-42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16A4" w14:textId="77777777" w:rsidR="00403D06" w:rsidRDefault="00B747DC" w:rsidP="00446BE6">
    <w:pPr>
      <w:pStyle w:val="Glava"/>
      <w:tabs>
        <w:tab w:val="clear" w:pos="4536"/>
        <w:tab w:val="clear" w:pos="9072"/>
        <w:tab w:val="left" w:pos="6195"/>
      </w:tabs>
    </w:pPr>
    <w:r>
      <w:rPr>
        <w:rFonts w:cs="Times New Roman"/>
        <w:noProof/>
        <w:lang w:eastAsia="sl-SI"/>
      </w:rPr>
      <w:drawing>
        <wp:anchor distT="0" distB="0" distL="114300" distR="114300" simplePos="0" relativeHeight="251656192" behindDoc="0" locked="0" layoutInCell="1" allowOverlap="1" wp14:anchorId="7D7A16AE" wp14:editId="7D7A16AF">
          <wp:simplePos x="0" y="0"/>
          <wp:positionH relativeFrom="margin">
            <wp:posOffset>-146050</wp:posOffset>
          </wp:positionH>
          <wp:positionV relativeFrom="margin">
            <wp:posOffset>-1202690</wp:posOffset>
          </wp:positionV>
          <wp:extent cx="731520" cy="1098550"/>
          <wp:effectExtent l="0" t="0" r="0" b="635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109855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lang w:eastAsia="sl-SI"/>
      </w:rPr>
      <w:drawing>
        <wp:anchor distT="0" distB="0" distL="114300" distR="114300" simplePos="0" relativeHeight="251658240" behindDoc="0" locked="0" layoutInCell="1" allowOverlap="1" wp14:anchorId="7D7A16B0" wp14:editId="7D7A16B1">
          <wp:simplePos x="0" y="0"/>
          <wp:positionH relativeFrom="margin">
            <wp:posOffset>700405</wp:posOffset>
          </wp:positionH>
          <wp:positionV relativeFrom="margin">
            <wp:posOffset>-1475105</wp:posOffset>
          </wp:positionV>
          <wp:extent cx="2286000" cy="1524000"/>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iv podjetja_Page_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anchor>
      </w:drawing>
    </w:r>
    <w:r>
      <w:rPr>
        <w:noProof/>
        <w:lang w:eastAsia="sl-SI"/>
      </w:rPr>
      <w:drawing>
        <wp:anchor distT="0" distB="0" distL="114300" distR="114300" simplePos="0" relativeHeight="251660288" behindDoc="0" locked="0" layoutInCell="1" allowOverlap="1" wp14:anchorId="7D7A16B2" wp14:editId="7D7A16B3">
          <wp:simplePos x="0" y="0"/>
          <wp:positionH relativeFrom="margin">
            <wp:posOffset>5535930</wp:posOffset>
          </wp:positionH>
          <wp:positionV relativeFrom="margin">
            <wp:posOffset>-1243965</wp:posOffset>
          </wp:positionV>
          <wp:extent cx="768350" cy="1097915"/>
          <wp:effectExtent l="0" t="0" r="0" b="6985"/>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031359" name="zelena-prestolnica-evrope-2016-ljubljana-378x54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68350" cy="1097915"/>
                  </a:xfrm>
                  <a:prstGeom prst="rect">
                    <a:avLst/>
                  </a:prstGeom>
                </pic:spPr>
              </pic:pic>
            </a:graphicData>
          </a:graphic>
          <wp14:sizeRelH relativeFrom="margin">
            <wp14:pctWidth>0</wp14:pctWidth>
          </wp14:sizeRelH>
          <wp14:sizeRelV relativeFrom="margin">
            <wp14:pctHeight>0</wp14:pctHeight>
          </wp14:sizeRelV>
        </wp:anchor>
      </w:drawing>
    </w:r>
    <w:r w:rsidR="00446BE6">
      <w:tab/>
    </w:r>
  </w:p>
  <w:p w14:paraId="7D7A16A5" w14:textId="77777777" w:rsidR="00446BE6" w:rsidRDefault="00446BE6" w:rsidP="00446BE6">
    <w:pPr>
      <w:pStyle w:val="Glava"/>
      <w:tabs>
        <w:tab w:val="clear" w:pos="4536"/>
        <w:tab w:val="clear" w:pos="9072"/>
        <w:tab w:val="left" w:pos="6195"/>
      </w:tabs>
    </w:pPr>
  </w:p>
  <w:p w14:paraId="7D7A16A6" w14:textId="77777777" w:rsidR="00446BE6" w:rsidRDefault="00446BE6" w:rsidP="00446BE6">
    <w:pPr>
      <w:pStyle w:val="Glava"/>
      <w:tabs>
        <w:tab w:val="clear" w:pos="4536"/>
        <w:tab w:val="clear" w:pos="9072"/>
        <w:tab w:val="left" w:pos="6195"/>
      </w:tabs>
    </w:pPr>
  </w:p>
  <w:p w14:paraId="7D7A16A7" w14:textId="77777777" w:rsidR="00446BE6" w:rsidRDefault="00446BE6" w:rsidP="00446BE6">
    <w:pPr>
      <w:pStyle w:val="Glava"/>
      <w:tabs>
        <w:tab w:val="clear" w:pos="4536"/>
        <w:tab w:val="clear" w:pos="9072"/>
        <w:tab w:val="left" w:pos="6195"/>
      </w:tabs>
    </w:pPr>
  </w:p>
  <w:p w14:paraId="7D7A16A8" w14:textId="77777777" w:rsidR="00B747DC" w:rsidRDefault="00B747DC" w:rsidP="00446BE6">
    <w:pPr>
      <w:pStyle w:val="Glava"/>
      <w:tabs>
        <w:tab w:val="clear" w:pos="4536"/>
        <w:tab w:val="clear" w:pos="9072"/>
        <w:tab w:val="left" w:pos="6195"/>
      </w:tabs>
    </w:pPr>
  </w:p>
  <w:p w14:paraId="7D7A16A9" w14:textId="77777777" w:rsidR="00446BE6" w:rsidRDefault="00446BE6" w:rsidP="00446BE6">
    <w:pPr>
      <w:pStyle w:val="Glava"/>
      <w:tabs>
        <w:tab w:val="clear" w:pos="4536"/>
        <w:tab w:val="clear" w:pos="9072"/>
        <w:tab w:val="left" w:pos="6195"/>
      </w:tabs>
    </w:pPr>
  </w:p>
  <w:p w14:paraId="7D7A16AA" w14:textId="77777777" w:rsidR="00446BE6" w:rsidRDefault="00446BE6" w:rsidP="00446BE6">
    <w:pPr>
      <w:pStyle w:val="Glava"/>
      <w:tabs>
        <w:tab w:val="clear" w:pos="4536"/>
        <w:tab w:val="clear" w:pos="9072"/>
        <w:tab w:val="left" w:pos="61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10C"/>
    <w:multiLevelType w:val="hybridMultilevel"/>
    <w:tmpl w:val="831E9D9E"/>
    <w:lvl w:ilvl="0" w:tplc="BE566D5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B00FEF"/>
    <w:multiLevelType w:val="hybridMultilevel"/>
    <w:tmpl w:val="DA3023E2"/>
    <w:lvl w:ilvl="0" w:tplc="31F87862">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3460BD4"/>
    <w:multiLevelType w:val="hybridMultilevel"/>
    <w:tmpl w:val="DB784348"/>
    <w:lvl w:ilvl="0" w:tplc="56A0A33C">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092BF3"/>
    <w:multiLevelType w:val="singleLevel"/>
    <w:tmpl w:val="4EEE92C0"/>
    <w:lvl w:ilvl="0">
      <w:start w:val="3"/>
      <w:numFmt w:val="upperLetter"/>
      <w:lvlText w:val="%1."/>
      <w:lvlJc w:val="left"/>
      <w:pPr>
        <w:tabs>
          <w:tab w:val="num" w:pos="360"/>
        </w:tabs>
        <w:ind w:left="360" w:hanging="360"/>
      </w:pPr>
      <w:rPr>
        <w:b/>
        <w:i w:val="0"/>
      </w:rPr>
    </w:lvl>
  </w:abstractNum>
  <w:abstractNum w:abstractNumId="4" w15:restartNumberingAfterBreak="0">
    <w:nsid w:val="197309B7"/>
    <w:multiLevelType w:val="singleLevel"/>
    <w:tmpl w:val="0424000F"/>
    <w:lvl w:ilvl="0">
      <w:start w:val="1"/>
      <w:numFmt w:val="decimal"/>
      <w:lvlText w:val="%1."/>
      <w:lvlJc w:val="left"/>
      <w:pPr>
        <w:tabs>
          <w:tab w:val="num" w:pos="720"/>
        </w:tabs>
        <w:ind w:left="720" w:hanging="360"/>
      </w:pPr>
    </w:lvl>
  </w:abstractNum>
  <w:abstractNum w:abstractNumId="5" w15:restartNumberingAfterBreak="0">
    <w:nsid w:val="23A23133"/>
    <w:multiLevelType w:val="hybridMultilevel"/>
    <w:tmpl w:val="6AF83EC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ECA30AB"/>
    <w:multiLevelType w:val="multilevel"/>
    <w:tmpl w:val="5AFE1DC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2657FF7"/>
    <w:multiLevelType w:val="hybridMultilevel"/>
    <w:tmpl w:val="C71E65D0"/>
    <w:lvl w:ilvl="0" w:tplc="73B8B83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8E60C6C"/>
    <w:multiLevelType w:val="hybridMultilevel"/>
    <w:tmpl w:val="55E4A4B6"/>
    <w:lvl w:ilvl="0" w:tplc="60DC757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97E5CBF"/>
    <w:multiLevelType w:val="hybridMultilevel"/>
    <w:tmpl w:val="AEEAD6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17236"/>
    <w:multiLevelType w:val="hybridMultilevel"/>
    <w:tmpl w:val="C4F8FA7E"/>
    <w:lvl w:ilvl="0" w:tplc="0424000F">
      <w:start w:val="1"/>
      <w:numFmt w:val="decimal"/>
      <w:lvlText w:val="%1."/>
      <w:lvlJc w:val="left"/>
      <w:pPr>
        <w:ind w:left="3" w:hanging="360"/>
      </w:pPr>
    </w:lvl>
    <w:lvl w:ilvl="1" w:tplc="04240019">
      <w:start w:val="1"/>
      <w:numFmt w:val="lowerLetter"/>
      <w:lvlText w:val="%2."/>
      <w:lvlJc w:val="left"/>
      <w:pPr>
        <w:ind w:left="723" w:hanging="360"/>
      </w:pPr>
    </w:lvl>
    <w:lvl w:ilvl="2" w:tplc="0424001B" w:tentative="1">
      <w:start w:val="1"/>
      <w:numFmt w:val="lowerRoman"/>
      <w:lvlText w:val="%3."/>
      <w:lvlJc w:val="right"/>
      <w:pPr>
        <w:ind w:left="1443" w:hanging="180"/>
      </w:pPr>
    </w:lvl>
    <w:lvl w:ilvl="3" w:tplc="0424000F" w:tentative="1">
      <w:start w:val="1"/>
      <w:numFmt w:val="decimal"/>
      <w:lvlText w:val="%4."/>
      <w:lvlJc w:val="left"/>
      <w:pPr>
        <w:ind w:left="2163" w:hanging="360"/>
      </w:pPr>
    </w:lvl>
    <w:lvl w:ilvl="4" w:tplc="04240019" w:tentative="1">
      <w:start w:val="1"/>
      <w:numFmt w:val="lowerLetter"/>
      <w:lvlText w:val="%5."/>
      <w:lvlJc w:val="left"/>
      <w:pPr>
        <w:ind w:left="2883" w:hanging="360"/>
      </w:pPr>
    </w:lvl>
    <w:lvl w:ilvl="5" w:tplc="0424001B" w:tentative="1">
      <w:start w:val="1"/>
      <w:numFmt w:val="lowerRoman"/>
      <w:lvlText w:val="%6."/>
      <w:lvlJc w:val="right"/>
      <w:pPr>
        <w:ind w:left="3603" w:hanging="180"/>
      </w:pPr>
    </w:lvl>
    <w:lvl w:ilvl="6" w:tplc="0424000F" w:tentative="1">
      <w:start w:val="1"/>
      <w:numFmt w:val="decimal"/>
      <w:lvlText w:val="%7."/>
      <w:lvlJc w:val="left"/>
      <w:pPr>
        <w:ind w:left="4323" w:hanging="360"/>
      </w:pPr>
    </w:lvl>
    <w:lvl w:ilvl="7" w:tplc="04240019" w:tentative="1">
      <w:start w:val="1"/>
      <w:numFmt w:val="lowerLetter"/>
      <w:lvlText w:val="%8."/>
      <w:lvlJc w:val="left"/>
      <w:pPr>
        <w:ind w:left="5043" w:hanging="360"/>
      </w:pPr>
    </w:lvl>
    <w:lvl w:ilvl="8" w:tplc="0424001B" w:tentative="1">
      <w:start w:val="1"/>
      <w:numFmt w:val="lowerRoman"/>
      <w:lvlText w:val="%9."/>
      <w:lvlJc w:val="right"/>
      <w:pPr>
        <w:ind w:left="5763" w:hanging="180"/>
      </w:pPr>
    </w:lvl>
  </w:abstractNum>
  <w:abstractNum w:abstractNumId="11" w15:restartNumberingAfterBreak="0">
    <w:nsid w:val="4A0B41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A376EA"/>
    <w:multiLevelType w:val="hybridMultilevel"/>
    <w:tmpl w:val="DACC4C40"/>
    <w:lvl w:ilvl="0" w:tplc="CC488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FF39BA"/>
    <w:multiLevelType w:val="hybridMultilevel"/>
    <w:tmpl w:val="C9F082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C8438A"/>
    <w:multiLevelType w:val="singleLevel"/>
    <w:tmpl w:val="09D6C5C0"/>
    <w:lvl w:ilvl="0">
      <w:start w:val="1"/>
      <w:numFmt w:val="decimal"/>
      <w:lvlText w:val="%1."/>
      <w:lvlJc w:val="left"/>
      <w:pPr>
        <w:tabs>
          <w:tab w:val="num" w:pos="360"/>
        </w:tabs>
        <w:ind w:left="360" w:hanging="360"/>
      </w:pPr>
    </w:lvl>
  </w:abstractNum>
  <w:abstractNum w:abstractNumId="15" w15:restartNumberingAfterBreak="0">
    <w:nsid w:val="72DB0C6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E44F6F"/>
    <w:multiLevelType w:val="hybridMultilevel"/>
    <w:tmpl w:val="261E8FF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DC308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FE1104"/>
    <w:multiLevelType w:val="singleLevel"/>
    <w:tmpl w:val="7A56CB7C"/>
    <w:lvl w:ilvl="0">
      <w:start w:val="2"/>
      <w:numFmt w:val="upperLetter"/>
      <w:lvlText w:val="%1."/>
      <w:lvlJc w:val="left"/>
      <w:pPr>
        <w:tabs>
          <w:tab w:val="num" w:pos="360"/>
        </w:tabs>
        <w:ind w:left="360" w:hanging="360"/>
      </w:pPr>
      <w:rPr>
        <w:b/>
        <w:i w:val="0"/>
      </w:rPr>
    </w:lvl>
  </w:abstractNum>
  <w:num w:numId="1">
    <w:abstractNumId w:val="17"/>
  </w:num>
  <w:num w:numId="2">
    <w:abstractNumId w:val="11"/>
  </w:num>
  <w:num w:numId="3">
    <w:abstractNumId w:val="6"/>
  </w:num>
  <w:num w:numId="4">
    <w:abstractNumId w:val="4"/>
  </w:num>
  <w:num w:numId="5">
    <w:abstractNumId w:val="3"/>
  </w:num>
  <w:num w:numId="6">
    <w:abstractNumId w:val="15"/>
  </w:num>
  <w:num w:numId="7">
    <w:abstractNumId w:val="18"/>
  </w:num>
  <w:num w:numId="8">
    <w:abstractNumId w:val="14"/>
  </w:num>
  <w:num w:numId="9">
    <w:abstractNumId w:val="9"/>
  </w:num>
  <w:num w:numId="10">
    <w:abstractNumId w:val="13"/>
  </w:num>
  <w:num w:numId="11">
    <w:abstractNumId w:val="5"/>
  </w:num>
  <w:num w:numId="12">
    <w:abstractNumId w:val="16"/>
  </w:num>
  <w:num w:numId="13">
    <w:abstractNumId w:val="10"/>
  </w:num>
  <w:num w:numId="14">
    <w:abstractNumId w:val="8"/>
  </w:num>
  <w:num w:numId="15">
    <w:abstractNumId w:val="7"/>
  </w:num>
  <w:num w:numId="16">
    <w:abstractNumId w:val="12"/>
  </w:num>
  <w:num w:numId="17">
    <w:abstractNumId w:val="0"/>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4B"/>
    <w:rsid w:val="00015BC6"/>
    <w:rsid w:val="00033265"/>
    <w:rsid w:val="00044185"/>
    <w:rsid w:val="00055F18"/>
    <w:rsid w:val="0006141D"/>
    <w:rsid w:val="000639FE"/>
    <w:rsid w:val="00074283"/>
    <w:rsid w:val="00091736"/>
    <w:rsid w:val="00094B41"/>
    <w:rsid w:val="000A2B31"/>
    <w:rsid w:val="000B70CB"/>
    <w:rsid w:val="0010451A"/>
    <w:rsid w:val="00130AAF"/>
    <w:rsid w:val="00130AE5"/>
    <w:rsid w:val="001506FE"/>
    <w:rsid w:val="00163BF4"/>
    <w:rsid w:val="00170F2B"/>
    <w:rsid w:val="00196AA5"/>
    <w:rsid w:val="001B7A44"/>
    <w:rsid w:val="001E736B"/>
    <w:rsid w:val="0020325C"/>
    <w:rsid w:val="00250E32"/>
    <w:rsid w:val="00273435"/>
    <w:rsid w:val="00281304"/>
    <w:rsid w:val="002B6223"/>
    <w:rsid w:val="002C4311"/>
    <w:rsid w:val="002D71EB"/>
    <w:rsid w:val="002F5D94"/>
    <w:rsid w:val="00353E84"/>
    <w:rsid w:val="00363F28"/>
    <w:rsid w:val="00393E5D"/>
    <w:rsid w:val="003C1EF2"/>
    <w:rsid w:val="003C42CA"/>
    <w:rsid w:val="003C584A"/>
    <w:rsid w:val="003E1F8E"/>
    <w:rsid w:val="003E21B9"/>
    <w:rsid w:val="003E446E"/>
    <w:rsid w:val="003F4E91"/>
    <w:rsid w:val="00403D06"/>
    <w:rsid w:val="00407DA1"/>
    <w:rsid w:val="00446BE6"/>
    <w:rsid w:val="004473A4"/>
    <w:rsid w:val="004513B8"/>
    <w:rsid w:val="004551C5"/>
    <w:rsid w:val="00465755"/>
    <w:rsid w:val="00466320"/>
    <w:rsid w:val="0049192C"/>
    <w:rsid w:val="004B0ED6"/>
    <w:rsid w:val="004B52F9"/>
    <w:rsid w:val="004D13BA"/>
    <w:rsid w:val="004E63F9"/>
    <w:rsid w:val="00501E6F"/>
    <w:rsid w:val="0051130E"/>
    <w:rsid w:val="00525FEB"/>
    <w:rsid w:val="00537842"/>
    <w:rsid w:val="005618EE"/>
    <w:rsid w:val="00564AE9"/>
    <w:rsid w:val="0059041D"/>
    <w:rsid w:val="005A365F"/>
    <w:rsid w:val="005A71A2"/>
    <w:rsid w:val="005B4170"/>
    <w:rsid w:val="005E14E0"/>
    <w:rsid w:val="0060145F"/>
    <w:rsid w:val="0061056D"/>
    <w:rsid w:val="006352B5"/>
    <w:rsid w:val="00643643"/>
    <w:rsid w:val="00646420"/>
    <w:rsid w:val="00665A52"/>
    <w:rsid w:val="006806F1"/>
    <w:rsid w:val="006943CF"/>
    <w:rsid w:val="006A200F"/>
    <w:rsid w:val="006B73C0"/>
    <w:rsid w:val="006C7D9D"/>
    <w:rsid w:val="006F3F26"/>
    <w:rsid w:val="007210BA"/>
    <w:rsid w:val="00735BEC"/>
    <w:rsid w:val="0074684B"/>
    <w:rsid w:val="00750993"/>
    <w:rsid w:val="0076427C"/>
    <w:rsid w:val="007729F7"/>
    <w:rsid w:val="007944AE"/>
    <w:rsid w:val="007A2E78"/>
    <w:rsid w:val="007C7035"/>
    <w:rsid w:val="007D0170"/>
    <w:rsid w:val="00820658"/>
    <w:rsid w:val="00822C6C"/>
    <w:rsid w:val="00844DF9"/>
    <w:rsid w:val="00850F74"/>
    <w:rsid w:val="008529C9"/>
    <w:rsid w:val="008564BE"/>
    <w:rsid w:val="00882307"/>
    <w:rsid w:val="0088374A"/>
    <w:rsid w:val="00886545"/>
    <w:rsid w:val="008919B5"/>
    <w:rsid w:val="008A51C8"/>
    <w:rsid w:val="008C0DC1"/>
    <w:rsid w:val="008C413A"/>
    <w:rsid w:val="008C47CA"/>
    <w:rsid w:val="008F3965"/>
    <w:rsid w:val="00917151"/>
    <w:rsid w:val="00925F16"/>
    <w:rsid w:val="00931162"/>
    <w:rsid w:val="00942B90"/>
    <w:rsid w:val="00945EC7"/>
    <w:rsid w:val="00946038"/>
    <w:rsid w:val="009656D8"/>
    <w:rsid w:val="009A5ED7"/>
    <w:rsid w:val="009E7D68"/>
    <w:rsid w:val="009F0FF5"/>
    <w:rsid w:val="00A045CE"/>
    <w:rsid w:val="00A047EC"/>
    <w:rsid w:val="00A167A1"/>
    <w:rsid w:val="00A1691D"/>
    <w:rsid w:val="00A31B75"/>
    <w:rsid w:val="00A42A47"/>
    <w:rsid w:val="00A46A9C"/>
    <w:rsid w:val="00A505B2"/>
    <w:rsid w:val="00A50F45"/>
    <w:rsid w:val="00A53F7B"/>
    <w:rsid w:val="00A70C7F"/>
    <w:rsid w:val="00A94DAF"/>
    <w:rsid w:val="00A950AD"/>
    <w:rsid w:val="00AA6361"/>
    <w:rsid w:val="00AC43C0"/>
    <w:rsid w:val="00AD4FCB"/>
    <w:rsid w:val="00AD7A65"/>
    <w:rsid w:val="00B04062"/>
    <w:rsid w:val="00B22C82"/>
    <w:rsid w:val="00B747DC"/>
    <w:rsid w:val="00B76F38"/>
    <w:rsid w:val="00B95014"/>
    <w:rsid w:val="00BA1D46"/>
    <w:rsid w:val="00BC0D94"/>
    <w:rsid w:val="00BC4471"/>
    <w:rsid w:val="00BD4759"/>
    <w:rsid w:val="00BE1E1A"/>
    <w:rsid w:val="00C04F65"/>
    <w:rsid w:val="00C24BE8"/>
    <w:rsid w:val="00C36554"/>
    <w:rsid w:val="00C618A1"/>
    <w:rsid w:val="00C83890"/>
    <w:rsid w:val="00CB448B"/>
    <w:rsid w:val="00DA353C"/>
    <w:rsid w:val="00DA418C"/>
    <w:rsid w:val="00DC726E"/>
    <w:rsid w:val="00DE052E"/>
    <w:rsid w:val="00E01EED"/>
    <w:rsid w:val="00E22F47"/>
    <w:rsid w:val="00E24D4A"/>
    <w:rsid w:val="00E43F65"/>
    <w:rsid w:val="00E5659E"/>
    <w:rsid w:val="00E67014"/>
    <w:rsid w:val="00E80707"/>
    <w:rsid w:val="00E92AF2"/>
    <w:rsid w:val="00EB7434"/>
    <w:rsid w:val="00ED2853"/>
    <w:rsid w:val="00EE088D"/>
    <w:rsid w:val="00EE7997"/>
    <w:rsid w:val="00F072A8"/>
    <w:rsid w:val="00F126EE"/>
    <w:rsid w:val="00F23BC3"/>
    <w:rsid w:val="00F256C6"/>
    <w:rsid w:val="00F27279"/>
    <w:rsid w:val="00F344DC"/>
    <w:rsid w:val="00F37F4C"/>
    <w:rsid w:val="00F4044F"/>
    <w:rsid w:val="00F7731A"/>
    <w:rsid w:val="00F81F47"/>
    <w:rsid w:val="00F82981"/>
    <w:rsid w:val="00FB2334"/>
    <w:rsid w:val="00FF42D0"/>
    <w:rsid w:val="00FF6C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A167B"/>
  <w15:docId w15:val="{D96B2A4B-A42A-4A34-A451-4C27D283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0AE5"/>
    <w:rPr>
      <w:rFonts w:ascii="Times New Roman" w:hAnsi="Times New Roman"/>
    </w:rPr>
  </w:style>
  <w:style w:type="paragraph" w:styleId="Naslov1">
    <w:name w:val="heading 1"/>
    <w:basedOn w:val="Navaden"/>
    <w:next w:val="Navaden"/>
    <w:link w:val="Naslov1Znak"/>
    <w:uiPriority w:val="9"/>
    <w:qFormat/>
    <w:rsid w:val="003E446E"/>
    <w:pPr>
      <w:keepNext/>
      <w:keepLines/>
      <w:numPr>
        <w:numId w:val="3"/>
      </w:numPr>
      <w:spacing w:before="480" w:after="0"/>
      <w:outlineLvl w:val="0"/>
    </w:pPr>
    <w:rPr>
      <w:rFonts w:eastAsiaTheme="majorEastAsia" w:cs="Times New Roman"/>
      <w:b/>
      <w:bCs/>
      <w:color w:val="17365D" w:themeColor="text2" w:themeShade="BF"/>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znabemesta">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3E446E"/>
    <w:rPr>
      <w:rFonts w:ascii="Times New Roman" w:eastAsiaTheme="majorEastAsia" w:hAnsi="Times New Roman" w:cs="Times New Roman"/>
      <w:b/>
      <w:bCs/>
      <w:color w:val="17365D" w:themeColor="text2" w:themeShade="BF"/>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 w:type="table" w:customStyle="1" w:styleId="Tabelamrea1">
    <w:name w:val="Tabela – mreža1"/>
    <w:basedOn w:val="Navadnatabela"/>
    <w:next w:val="Tabelamrea"/>
    <w:uiPriority w:val="59"/>
    <w:rsid w:val="00446B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uiPriority w:val="99"/>
    <w:semiHidden/>
    <w:unhideWhenUsed/>
    <w:rsid w:val="00886545"/>
    <w:pPr>
      <w:spacing w:after="120" w:line="480" w:lineRule="auto"/>
    </w:pPr>
    <w:rPr>
      <w:rFonts w:eastAsia="Times New Roman" w:cs="Times New Roman"/>
      <w:sz w:val="24"/>
      <w:szCs w:val="24"/>
      <w:lang w:val="en-US" w:eastAsia="sl-SI"/>
    </w:rPr>
  </w:style>
  <w:style w:type="character" w:customStyle="1" w:styleId="Telobesedila2Znak">
    <w:name w:val="Telo besedila 2 Znak"/>
    <w:basedOn w:val="Privzetapisavaodstavka"/>
    <w:link w:val="Telobesedila2"/>
    <w:uiPriority w:val="99"/>
    <w:semiHidden/>
    <w:rsid w:val="00886545"/>
    <w:rPr>
      <w:rFonts w:ascii="Times New Roman" w:eastAsia="Times New Roman" w:hAnsi="Times New Roman" w:cs="Times New Roman"/>
      <w:sz w:val="24"/>
      <w:szCs w:val="24"/>
      <w:lang w:val="en-US" w:eastAsia="sl-SI"/>
    </w:rPr>
  </w:style>
  <w:style w:type="character" w:styleId="Hiperpovezava">
    <w:name w:val="Hyperlink"/>
    <w:semiHidden/>
    <w:rsid w:val="00886545"/>
    <w:rPr>
      <w:color w:val="0000FF"/>
      <w:u w:val="single"/>
    </w:rPr>
  </w:style>
  <w:style w:type="table" w:customStyle="1" w:styleId="Tabelamrea4">
    <w:name w:val="Tabela – mreža4"/>
    <w:basedOn w:val="Navadnatabela"/>
    <w:next w:val="Tabelamrea"/>
    <w:uiPriority w:val="59"/>
    <w:rsid w:val="00FB23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2197">
      <w:bodyDiv w:val="1"/>
      <w:marLeft w:val="0"/>
      <w:marRight w:val="0"/>
      <w:marTop w:val="0"/>
      <w:marBottom w:val="0"/>
      <w:divBdr>
        <w:top w:val="none" w:sz="0" w:space="0" w:color="auto"/>
        <w:left w:val="none" w:sz="0" w:space="0" w:color="auto"/>
        <w:bottom w:val="none" w:sz="0" w:space="0" w:color="auto"/>
        <w:right w:val="none" w:sz="0" w:space="0" w:color="auto"/>
      </w:divBdr>
    </w:div>
    <w:div w:id="665085996">
      <w:bodyDiv w:val="1"/>
      <w:marLeft w:val="0"/>
      <w:marRight w:val="0"/>
      <w:marTop w:val="0"/>
      <w:marBottom w:val="0"/>
      <w:divBdr>
        <w:top w:val="none" w:sz="0" w:space="0" w:color="auto"/>
        <w:left w:val="none" w:sz="0" w:space="0" w:color="auto"/>
        <w:bottom w:val="none" w:sz="0" w:space="0" w:color="auto"/>
        <w:right w:val="none" w:sz="0" w:space="0" w:color="auto"/>
      </w:divBdr>
    </w:div>
    <w:div w:id="909996913">
      <w:bodyDiv w:val="1"/>
      <w:marLeft w:val="0"/>
      <w:marRight w:val="0"/>
      <w:marTop w:val="0"/>
      <w:marBottom w:val="0"/>
      <w:divBdr>
        <w:top w:val="none" w:sz="0" w:space="0" w:color="auto"/>
        <w:left w:val="none" w:sz="0" w:space="0" w:color="auto"/>
        <w:bottom w:val="none" w:sz="0" w:space="0" w:color="auto"/>
        <w:right w:val="none" w:sz="0" w:space="0" w:color="auto"/>
      </w:divBdr>
    </w:div>
    <w:div w:id="1026518592">
      <w:bodyDiv w:val="1"/>
      <w:marLeft w:val="0"/>
      <w:marRight w:val="0"/>
      <w:marTop w:val="0"/>
      <w:marBottom w:val="0"/>
      <w:divBdr>
        <w:top w:val="none" w:sz="0" w:space="0" w:color="auto"/>
        <w:left w:val="none" w:sz="0" w:space="0" w:color="auto"/>
        <w:bottom w:val="none" w:sz="0" w:space="0" w:color="auto"/>
        <w:right w:val="none" w:sz="0" w:space="0" w:color="auto"/>
      </w:divBdr>
    </w:div>
    <w:div w:id="1445419041">
      <w:bodyDiv w:val="1"/>
      <w:marLeft w:val="0"/>
      <w:marRight w:val="0"/>
      <w:marTop w:val="0"/>
      <w:marBottom w:val="0"/>
      <w:divBdr>
        <w:top w:val="none" w:sz="0" w:space="0" w:color="auto"/>
        <w:left w:val="none" w:sz="0" w:space="0" w:color="auto"/>
        <w:bottom w:val="none" w:sz="0" w:space="0" w:color="auto"/>
        <w:right w:val="none" w:sz="0" w:space="0" w:color="auto"/>
      </w:divBdr>
    </w:div>
    <w:div w:id="1470200807">
      <w:bodyDiv w:val="1"/>
      <w:marLeft w:val="0"/>
      <w:marRight w:val="0"/>
      <w:marTop w:val="0"/>
      <w:marBottom w:val="0"/>
      <w:divBdr>
        <w:top w:val="none" w:sz="0" w:space="0" w:color="auto"/>
        <w:left w:val="none" w:sz="0" w:space="0" w:color="auto"/>
        <w:bottom w:val="none" w:sz="0" w:space="0" w:color="auto"/>
        <w:right w:val="none" w:sz="0" w:space="0" w:color="auto"/>
      </w:divBdr>
    </w:div>
    <w:div w:id="17836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sankovic\AppData\Local\Microsoft\Windows\INetCache\Content.Outlook\VTATIEX3\Obrazec%20Dokument%20DPP%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FCB6054A404A4697154F770D5F7B6B"/>
        <w:category>
          <w:name w:val="Splošno"/>
          <w:gallery w:val="placeholder"/>
        </w:category>
        <w:types>
          <w:type w:val="bbPlcHdr"/>
        </w:types>
        <w:behaviors>
          <w:behavior w:val="content"/>
        </w:behaviors>
        <w:guid w:val="{8AAD3FC9-C1A1-4AE0-BEA4-6057D1D4BC75}"/>
      </w:docPartPr>
      <w:docPartBody>
        <w:p w:rsidR="006F4235" w:rsidRDefault="008D4F71" w:rsidP="008D4F71">
          <w:pPr>
            <w:pStyle w:val="D3FCB6054A404A4697154F770D5F7B6B"/>
          </w:pPr>
          <w:r w:rsidRPr="001A758F">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71"/>
    <w:rsid w:val="0000232C"/>
    <w:rsid w:val="004658E7"/>
    <w:rsid w:val="00480F03"/>
    <w:rsid w:val="005C0A3B"/>
    <w:rsid w:val="005E46B8"/>
    <w:rsid w:val="006035F6"/>
    <w:rsid w:val="006F4235"/>
    <w:rsid w:val="008D4F71"/>
    <w:rsid w:val="00AA7798"/>
    <w:rsid w:val="00B46FF9"/>
    <w:rsid w:val="00B51CAE"/>
    <w:rsid w:val="00D306B5"/>
    <w:rsid w:val="00D77CA8"/>
    <w:rsid w:val="00EC142A"/>
    <w:rsid w:val="00F17B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8D4F71"/>
    <w:rPr>
      <w:color w:val="808080"/>
    </w:rPr>
  </w:style>
  <w:style w:type="paragraph" w:customStyle="1" w:styleId="D3FCB6054A404A4697154F770D5F7B6B">
    <w:name w:val="D3FCB6054A404A4697154F770D5F7B6B"/>
    <w:rsid w:val="008D4F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KA">
      <a:majorFont>
        <a:latin typeface="Frutiger"/>
        <a:ea typeface=""/>
        <a:cs typeface=""/>
      </a:majorFont>
      <a:minorFont>
        <a:latin typeface="Frutiger"/>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3AD2-B54B-41A7-A8D8-7D898CD4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Dokument DPP (6).dotx</Template>
  <TotalTime>84</TotalTime>
  <Pages>2</Pages>
  <Words>685</Words>
  <Characters>3910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Obvestilo o oprostitvi plačila storitev ravnanja z odpadki zaradi izrednih okoliščin v aprilu 2020 (Brezovica pri Ljubljani)</vt:lpstr>
    </vt:vector>
  </TitlesOfParts>
  <Company>JHL</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Obveznosti uporabnikov storitev zbiranja komunalnih odpadkov</dc:title>
  <dc:creator>test</dc:creator>
  <cp:lastModifiedBy>Tamara Vidic Perko</cp:lastModifiedBy>
  <cp:revision>9</cp:revision>
  <cp:lastPrinted>2020-05-08T08:11:00Z</cp:lastPrinted>
  <dcterms:created xsi:type="dcterms:W3CDTF">2020-05-11T10:10:00Z</dcterms:created>
  <dcterms:modified xsi:type="dcterms:W3CDTF">2021-01-07T13:22:00Z</dcterms:modified>
  <cp:category>xxxxxx</cp:category>
  <cp:contentStatus>1</cp:contentStatus>
</cp:coreProperties>
</file>