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16725F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vodovodnega sistema </w:t>
      </w:r>
      <w:r w:rsidR="008D67BF">
        <w:rPr>
          <w:rFonts w:ascii="Futura PT" w:hAnsi="Futura PT"/>
          <w:caps/>
          <w:color w:val="4F81BD" w:themeColor="accent1"/>
          <w:sz w:val="34"/>
          <w:szCs w:val="34"/>
        </w:rPr>
        <w:t>TREBELJEVO</w:t>
      </w:r>
      <w:r w:rsidR="00ED5260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 </w:t>
      </w: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C0644B">
        <w:rPr>
          <w:rFonts w:ascii="Futura Bk BT" w:hAnsi="Futura Bk BT"/>
          <w:sz w:val="22"/>
          <w:szCs w:val="22"/>
        </w:rPr>
        <w:t xml:space="preserve"> </w:t>
      </w:r>
      <w:r w:rsidRPr="00E449F3">
        <w:rPr>
          <w:rFonts w:ascii="Futura Bk BT" w:hAnsi="Futura Bk BT"/>
          <w:b/>
          <w:sz w:val="22"/>
          <w:szCs w:val="22"/>
        </w:rPr>
        <w:t xml:space="preserve">vodovodnega sistema </w:t>
      </w:r>
      <w:r w:rsidR="008D67BF">
        <w:rPr>
          <w:rFonts w:ascii="Futura Bk BT" w:hAnsi="Futura Bk BT"/>
          <w:b/>
          <w:sz w:val="22"/>
          <w:szCs w:val="22"/>
        </w:rPr>
        <w:t>Trebeljevo</w:t>
      </w:r>
      <w:r w:rsidRPr="00E449F3">
        <w:rPr>
          <w:rFonts w:ascii="Futura Bk BT" w:hAnsi="Futura Bk BT"/>
          <w:b/>
          <w:sz w:val="22"/>
          <w:szCs w:val="22"/>
        </w:rPr>
        <w:t>.</w:t>
      </w:r>
      <w:bookmarkStart w:id="0" w:name="_GoBack"/>
      <w:bookmarkEnd w:id="0"/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1423F" w:rsidP="0071423F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2. Pisno obvestilo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4. Osebno obvestilo v primeru manjšega števila </w:t>
            </w:r>
            <w:r w:rsidR="00D57DCA">
              <w:rPr>
                <w:rFonts w:ascii="Futura Bk BT" w:hAnsi="Futura Bk BT"/>
                <w:color w:val="000000"/>
                <w:sz w:val="17"/>
                <w:szCs w:val="17"/>
              </w:rPr>
              <w:t xml:space="preserve">  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objektov, sicer pa:</w:t>
            </w:r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500B3B">
        <w:trPr>
          <w:trHeight w:val="1391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3D0ACD" w:rsidRDefault="003D39CC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1B5E29">
              <w:rPr>
                <w:rFonts w:ascii="Futura Bk BT" w:hAnsi="Futura Bk BT"/>
                <w:sz w:val="17"/>
                <w:szCs w:val="17"/>
              </w:rPr>
              <w:t xml:space="preserve"> </w:t>
            </w:r>
            <w:r w:rsidR="001B5E29" w:rsidRPr="001B5E29">
              <w:rPr>
                <w:rStyle w:val="Hiperpovezava"/>
                <w:rFonts w:ascii="Futura Bk BT" w:hAnsi="Futura Bk BT"/>
                <w:color w:val="4F81BD" w:themeColor="accent1"/>
                <w:sz w:val="17"/>
                <w:szCs w:val="17"/>
              </w:rPr>
              <w:t>www.vokasnaga.si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C025CB" w:rsidRDefault="00305ED9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1</w:t>
            </w:r>
            <w:r w:rsidR="005A4C97">
              <w:rPr>
                <w:rFonts w:ascii="Futura Bk BT" w:hAnsi="Futura Bk BT"/>
                <w:color w:val="000000"/>
                <w:sz w:val="17"/>
                <w:szCs w:val="17"/>
              </w:rPr>
              <w:t xml:space="preserve">. 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Radio Slovenija (1. program, Val 202)</w:t>
            </w:r>
          </w:p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2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SMS sporočilo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Default="0071423F" w:rsidP="005A4C97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>
              <w:rPr>
                <w:rFonts w:ascii="Futura Bk BT" w:hAnsi="Futura Bk BT"/>
                <w:sz w:val="17"/>
                <w:szCs w:val="17"/>
              </w:rPr>
              <w:t>3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E-pošta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1423F" w:rsidRDefault="0071423F" w:rsidP="0071423F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4</w:t>
            </w:r>
            <w:r w:rsidRPr="00333048">
              <w:rPr>
                <w:rFonts w:ascii="Futura Bk BT" w:hAnsi="Futura Bk BT"/>
                <w:sz w:val="17"/>
                <w:szCs w:val="17"/>
              </w:rPr>
              <w:t xml:space="preserve">. Spletni naslov </w:t>
            </w:r>
            <w:hyperlink r:id="rId10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1423F" w:rsidRPr="00333048" w:rsidRDefault="0071423F" w:rsidP="005A4C97">
            <w:pPr>
              <w:rPr>
                <w:rFonts w:ascii="Futura Bk BT" w:hAnsi="Futura Bk BT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8D67BF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1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8D67BF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2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6D587B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2. </w:t>
            </w:r>
            <w:r w:rsidR="006D587B">
              <w:rPr>
                <w:rFonts w:ascii="Futura Bk BT" w:hAnsi="Futura Bk BT"/>
                <w:sz w:val="17"/>
                <w:szCs w:val="17"/>
              </w:rPr>
              <w:t>G</w:t>
            </w:r>
            <w:r w:rsidR="0071423F">
              <w:rPr>
                <w:rFonts w:ascii="Futura Bk BT" w:hAnsi="Futura Bk BT"/>
                <w:sz w:val="17"/>
                <w:szCs w:val="17"/>
              </w:rPr>
              <w:t xml:space="preserve">lasilo </w:t>
            </w:r>
            <w:r w:rsidR="006D587B">
              <w:rPr>
                <w:rFonts w:ascii="Futura Bk BT" w:hAnsi="Futura Bk BT"/>
                <w:sz w:val="17"/>
                <w:szCs w:val="17"/>
              </w:rPr>
              <w:t>Ljubljana</w:t>
            </w:r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3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4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7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8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</w:p>
    <w:sectPr w:rsidR="00F34904" w:rsidRPr="00333048" w:rsidSect="005613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70E4"/>
    <w:rsid w:val="00133BB4"/>
    <w:rsid w:val="00137008"/>
    <w:rsid w:val="001378EA"/>
    <w:rsid w:val="00140049"/>
    <w:rsid w:val="001409C0"/>
    <w:rsid w:val="001424C0"/>
    <w:rsid w:val="0016725F"/>
    <w:rsid w:val="00191409"/>
    <w:rsid w:val="001B04D2"/>
    <w:rsid w:val="001B5E29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23C01"/>
    <w:rsid w:val="00450EFE"/>
    <w:rsid w:val="00451764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D587B"/>
    <w:rsid w:val="006E4358"/>
    <w:rsid w:val="006E6DF5"/>
    <w:rsid w:val="006F38E1"/>
    <w:rsid w:val="006F6465"/>
    <w:rsid w:val="00704FA5"/>
    <w:rsid w:val="00706E14"/>
    <w:rsid w:val="0071423F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D67BF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73CAD"/>
    <w:rsid w:val="00B82985"/>
    <w:rsid w:val="00B878B7"/>
    <w:rsid w:val="00B900C9"/>
    <w:rsid w:val="00B94059"/>
    <w:rsid w:val="00B97467"/>
    <w:rsid w:val="00BA6960"/>
    <w:rsid w:val="00BB7728"/>
    <w:rsid w:val="00BD323B"/>
    <w:rsid w:val="00BF56DC"/>
    <w:rsid w:val="00C025CB"/>
    <w:rsid w:val="00C036C5"/>
    <w:rsid w:val="00C0644B"/>
    <w:rsid w:val="00C06851"/>
    <w:rsid w:val="00C14645"/>
    <w:rsid w:val="00C17674"/>
    <w:rsid w:val="00C24C87"/>
    <w:rsid w:val="00C373D4"/>
    <w:rsid w:val="00C43205"/>
    <w:rsid w:val="00C52BB9"/>
    <w:rsid w:val="00C52EBD"/>
    <w:rsid w:val="00C56B5E"/>
    <w:rsid w:val="00C65BC0"/>
    <w:rsid w:val="00C764A1"/>
    <w:rsid w:val="00C91F8F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1CA8"/>
    <w:rsid w:val="00D230C3"/>
    <w:rsid w:val="00D35571"/>
    <w:rsid w:val="00D57DCA"/>
    <w:rsid w:val="00D631A9"/>
    <w:rsid w:val="00D75207"/>
    <w:rsid w:val="00D80403"/>
    <w:rsid w:val="00D84EB7"/>
    <w:rsid w:val="00DA5AFA"/>
    <w:rsid w:val="00DB3DE3"/>
    <w:rsid w:val="00DC63F3"/>
    <w:rsid w:val="00DC6E33"/>
    <w:rsid w:val="00DC7D1B"/>
    <w:rsid w:val="00DD7FBE"/>
    <w:rsid w:val="00DE5C0E"/>
    <w:rsid w:val="00DF4DB5"/>
    <w:rsid w:val="00DF6D7C"/>
    <w:rsid w:val="00E41CE8"/>
    <w:rsid w:val="00E43544"/>
    <w:rsid w:val="00E449F3"/>
    <w:rsid w:val="00E64845"/>
    <w:rsid w:val="00E72420"/>
    <w:rsid w:val="00E82EBB"/>
    <w:rsid w:val="00E8433F"/>
    <w:rsid w:val="00E95508"/>
    <w:rsid w:val="00EB1F6D"/>
    <w:rsid w:val="00EB4FCB"/>
    <w:rsid w:val="00EB59BA"/>
    <w:rsid w:val="00ED504C"/>
    <w:rsid w:val="00ED5260"/>
    <w:rsid w:val="00ED5A29"/>
    <w:rsid w:val="00EE0238"/>
    <w:rsid w:val="00EF0B6B"/>
    <w:rsid w:val="00F34904"/>
    <w:rsid w:val="00F34A52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5D37E348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voka-elista-prijava" TargetMode="External"/><Relationship Id="rId18" Type="http://schemas.openxmlformats.org/officeDocument/2006/relationships/hyperlink" Target="mailto:vokasnaga@vokasnaga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okasnaga.si/informacije/kaksno-vodo-pijemo/letno-porocilo-o-skladnosti-pitne-vode" TargetMode="External"/><Relationship Id="rId17" Type="http://schemas.openxmlformats.org/officeDocument/2006/relationships/hyperlink" Target="https://www.nijz.si/sl/podrocja-dela/moje-okolje/pitna-vo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kasnaga.si/voka-elista-prijav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kasnaga.si/informacije/kaksno-vodo-pijem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evko.si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A186-EB0D-4C48-A5FF-B9DCF8C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4620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55</cp:revision>
  <cp:lastPrinted>2019-12-06T10:20:00Z</cp:lastPrinted>
  <dcterms:created xsi:type="dcterms:W3CDTF">2019-12-06T14:18:00Z</dcterms:created>
  <dcterms:modified xsi:type="dcterms:W3CDTF">2020-12-17T10:38:00Z</dcterms:modified>
</cp:coreProperties>
</file>